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jc w:val="center"/>
        <w:outlineLvl w:val="9"/>
        <w:rPr>
          <w:rFonts w:ascii="方正小标宋简体" w:hAnsi="方正小标宋简体" w:eastAsia="方正小标宋简体" w:cs="方正小标宋简体"/>
          <w:color w:val="auto"/>
          <w:sz w:val="48"/>
          <w:szCs w:val="48"/>
        </w:rPr>
      </w:pPr>
      <w:bookmarkStart w:id="22" w:name="_GoBack"/>
      <w:bookmarkEnd w:id="22"/>
      <w:r>
        <w:rPr>
          <w:rFonts w:hint="eastAsia" w:ascii="方正小标宋简体" w:hAnsi="方正小标宋简体" w:eastAsia="方正小标宋简体" w:cs="方正小标宋简体"/>
          <w:color w:val="auto"/>
          <w:sz w:val="48"/>
          <w:szCs w:val="48"/>
        </w:rPr>
        <w:t>编录说明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ascii="仿宋" w:hAnsi="仿宋" w:eastAsia="仿宋" w:cs="仿宋"/>
          <w:color w:val="auto"/>
          <w:sz w:val="28"/>
          <w:szCs w:val="28"/>
        </w:rPr>
      </w:pPr>
      <w:r>
        <w:rPr>
          <w:rFonts w:hint="eastAsia" w:ascii="仿宋" w:hAnsi="仿宋" w:eastAsia="仿宋" w:cs="仿宋"/>
          <w:color w:val="auto"/>
          <w:sz w:val="28"/>
          <w:szCs w:val="28"/>
        </w:rPr>
        <w:t>为进一步优化政务环境，规范部门收费行为，减轻企业、个人和社会的负担，提高收费政策的透明度，确保国家收费政策的贯彻、落实，促进我</w:t>
      </w:r>
      <w:r>
        <w:rPr>
          <w:rFonts w:hint="eastAsia" w:ascii="仿宋" w:hAnsi="仿宋" w:eastAsia="仿宋" w:cs="仿宋"/>
          <w:color w:val="auto"/>
          <w:sz w:val="28"/>
          <w:szCs w:val="28"/>
          <w:lang w:eastAsia="zh-CN"/>
        </w:rPr>
        <w:t>县</w:t>
      </w:r>
      <w:r>
        <w:rPr>
          <w:rFonts w:hint="eastAsia" w:ascii="仿宋" w:hAnsi="仿宋" w:eastAsia="仿宋" w:cs="仿宋"/>
          <w:color w:val="auto"/>
          <w:sz w:val="28"/>
          <w:szCs w:val="28"/>
        </w:rPr>
        <w:t>国家机关、事业单位、社会组织依法收费，便于全社会和有关部门了解、掌握并自觉遵守国家收费管理的政策、法规，依照国家和省近年来行政事业性收费清理政策，我们整理了《</w:t>
      </w:r>
      <w:r>
        <w:rPr>
          <w:rFonts w:hint="eastAsia" w:ascii="仿宋" w:hAnsi="仿宋" w:eastAsia="仿宋" w:cs="仿宋"/>
          <w:color w:val="auto"/>
          <w:sz w:val="28"/>
          <w:szCs w:val="28"/>
          <w:lang w:eastAsia="zh-CN"/>
        </w:rPr>
        <w:t>铜鼓县</w:t>
      </w:r>
      <w:r>
        <w:rPr>
          <w:rFonts w:hint="eastAsia" w:ascii="仿宋" w:hAnsi="仿宋" w:eastAsia="仿宋" w:cs="仿宋"/>
          <w:color w:val="auto"/>
          <w:sz w:val="28"/>
          <w:szCs w:val="28"/>
        </w:rPr>
        <w:t>收费项目和标准汇编》。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汇编》收录了国务院和国家发展改革委员会、财政部以及省政府、省发展和改革委员会、省财政厅等向社会公布清理后保留的有关行政事业性收费项目和标准；同时收录了部分与广大人民群众生活密切相关的公用事业等行业经营服务类价格标准。《汇编》截止时间为</w:t>
      </w:r>
      <w:r>
        <w:rPr>
          <w:rFonts w:ascii="仿宋" w:hAnsi="仿宋" w:eastAsia="仿宋" w:cs="仿宋"/>
          <w:color w:val="auto"/>
          <w:sz w:val="28"/>
          <w:szCs w:val="28"/>
        </w:rPr>
        <w:t>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月。涉企收费都以</w:t>
      </w:r>
      <w:r>
        <w:rPr>
          <w:rFonts w:ascii="仿宋" w:hAnsi="仿宋" w:eastAsia="仿宋" w:cs="仿宋"/>
          <w:color w:val="auto"/>
          <w:sz w:val="28"/>
          <w:szCs w:val="28"/>
        </w:rPr>
        <w:t>*</w:t>
      </w:r>
      <w:r>
        <w:rPr>
          <w:rFonts w:hint="eastAsia" w:ascii="仿宋" w:hAnsi="仿宋" w:eastAsia="仿宋" w:cs="仿宋"/>
          <w:color w:val="auto"/>
          <w:sz w:val="28"/>
          <w:szCs w:val="28"/>
        </w:rPr>
        <w:t>标注。因工作难免出现误差，如有编录错误一律以正式文件为准。今后凡中央和省有新的收费政策和文件规定的，一律按新的文件规定执行。</w:t>
      </w:r>
    </w:p>
    <w:p>
      <w:pPr>
        <w:keepNext w:val="0"/>
        <w:keepLines w:val="0"/>
        <w:pageBreakBefore w:val="0"/>
        <w:kinsoku/>
        <w:overflowPunct/>
        <w:topLinePunct w:val="0"/>
        <w:autoSpaceDE/>
        <w:autoSpaceDN/>
        <w:bidi w:val="0"/>
        <w:adjustRightInd/>
        <w:snapToGrid/>
        <w:ind w:firstLine="640" w:firstLineChars="200"/>
        <w:jc w:val="left"/>
        <w:outlineLvl w:val="9"/>
        <w:rPr>
          <w:rFonts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sectPr>
          <w:footerReference r:id="rId3" w:type="default"/>
          <w:pgSz w:w="8390" w:h="11905"/>
          <w:pgMar w:top="1134" w:right="1134" w:bottom="1134" w:left="1134" w:header="720" w:footer="720" w:gutter="0"/>
          <w:cols w:space="0" w:num="1"/>
          <w:rtlGutter w:val="0"/>
          <w:docGrid w:type="lines" w:linePitch="321" w:charSpace="0"/>
        </w:sect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pPr>
      <w:r>
        <w:rPr>
          <w:rFonts w:hint="eastAsia" w:ascii="Times New Roman" w:hAnsi="Times New Roman" w:cs="宋体"/>
          <w:b/>
          <w:color w:val="auto"/>
          <w:sz w:val="40"/>
          <w:szCs w:val="40"/>
          <w:lang w:eastAsia="zh-CN"/>
        </w:rPr>
        <w:t>目</w:t>
      </w:r>
      <w:r>
        <w:rPr>
          <w:rFonts w:hint="eastAsia" w:ascii="Times New Roman" w:hAnsi="Times New Roman" w:cs="宋体"/>
          <w:b/>
          <w:color w:val="auto"/>
          <w:sz w:val="40"/>
          <w:szCs w:val="40"/>
          <w:lang w:val="en-US" w:eastAsia="zh-CN"/>
        </w:rPr>
        <w:t xml:space="preserve">  </w:t>
      </w:r>
      <w:r>
        <w:rPr>
          <w:rFonts w:hint="eastAsia" w:ascii="Times New Roman" w:hAnsi="Times New Roman" w:cs="宋体"/>
          <w:b/>
          <w:color w:val="auto"/>
          <w:sz w:val="40"/>
          <w:szCs w:val="40"/>
          <w:lang w:eastAsia="zh-CN"/>
        </w:rPr>
        <w:t>录</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imes New Roman" w:hAnsi="Times New Roman" w:cs="宋体"/>
          <w:b/>
          <w:color w:val="auto"/>
          <w:sz w:val="28"/>
          <w:szCs w:val="28"/>
          <w:lang w:eastAsia="zh-CN"/>
        </w:rPr>
      </w:pP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b/>
          <w:color w:val="auto"/>
          <w:sz w:val="28"/>
          <w:szCs w:val="28"/>
          <w:lang w:eastAsia="zh-CN"/>
        </w:rPr>
        <w:fldChar w:fldCharType="begin"/>
      </w:r>
      <w:r>
        <w:rPr>
          <w:rFonts w:hint="eastAsia" w:ascii="楷体_GB2312" w:hAnsi="楷体_GB2312" w:eastAsia="楷体_GB2312" w:cs="楷体_GB2312"/>
          <w:b/>
          <w:color w:val="auto"/>
          <w:sz w:val="28"/>
          <w:szCs w:val="28"/>
          <w:lang w:eastAsia="zh-CN"/>
        </w:rPr>
        <w:instrText xml:space="preserve">TOC \o "1-1" \h \u </w:instrText>
      </w:r>
      <w:r>
        <w:rPr>
          <w:rFonts w:hint="eastAsia" w:ascii="楷体_GB2312" w:hAnsi="楷体_GB2312" w:eastAsia="楷体_GB2312" w:cs="楷体_GB2312"/>
          <w:b/>
          <w:color w:val="auto"/>
          <w:sz w:val="28"/>
          <w:szCs w:val="28"/>
          <w:lang w:eastAsia="zh-CN"/>
        </w:rPr>
        <w:fldChar w:fldCharType="separate"/>
      </w: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_Toc14921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铜鼓县住房和城乡建设局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_Toc14921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_Toc10585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铜鼓县城市管理局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_Toc10585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_Toc30465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铜鼓县县城环境卫生管理所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_Toc30465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_Toc13611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林业局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_Toc13611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_Toc24122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水利局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_Toc24122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_Toc28058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自然资源局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_Toc28058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_Toc16450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铜鼓县卫生健康委员会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_Toc16450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_Toc9377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人力资源和社会保障局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_Toc9377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铜鼓县残疾人联合会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_Toc2183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_Toc2183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_Toc20277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公安局交</w:t>
      </w:r>
      <w:r>
        <w:rPr>
          <w:rFonts w:hint="eastAsia" w:ascii="楷体_GB2312" w:hAnsi="楷体_GB2312" w:eastAsia="楷体_GB2312" w:cs="楷体_GB2312"/>
          <w:sz w:val="24"/>
          <w:szCs w:val="24"/>
          <w:lang w:eastAsia="zh-CN"/>
        </w:rPr>
        <w:t>通</w:t>
      </w:r>
      <w:r>
        <w:rPr>
          <w:rFonts w:hint="eastAsia" w:ascii="楷体_GB2312" w:hAnsi="楷体_GB2312" w:eastAsia="楷体_GB2312" w:cs="楷体_GB2312"/>
          <w:sz w:val="24"/>
          <w:szCs w:val="24"/>
        </w:rPr>
        <w:t>警</w:t>
      </w:r>
      <w:r>
        <w:rPr>
          <w:rFonts w:hint="eastAsia" w:ascii="楷体_GB2312" w:hAnsi="楷体_GB2312" w:eastAsia="楷体_GB2312" w:cs="楷体_GB2312"/>
          <w:sz w:val="24"/>
          <w:szCs w:val="24"/>
          <w:lang w:eastAsia="zh-CN"/>
        </w:rPr>
        <w:t>察大</w:t>
      </w:r>
      <w:r>
        <w:rPr>
          <w:rFonts w:hint="eastAsia" w:ascii="楷体_GB2312" w:hAnsi="楷体_GB2312" w:eastAsia="楷体_GB2312" w:cs="楷体_GB2312"/>
          <w:sz w:val="24"/>
          <w:szCs w:val="24"/>
        </w:rPr>
        <w:t>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_Toc20277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_Toc2520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铜鼓县人民</w:t>
      </w:r>
      <w:r>
        <w:rPr>
          <w:rFonts w:hint="eastAsia" w:ascii="楷体_GB2312" w:hAnsi="楷体_GB2312" w:eastAsia="楷体_GB2312" w:cs="楷体_GB2312"/>
          <w:sz w:val="24"/>
          <w:szCs w:val="24"/>
        </w:rPr>
        <w:t>法院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_Toc2520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default" w:ascii="楷体_GB2312" w:hAnsi="楷体_GB2312" w:eastAsia="楷体_GB2312" w:cs="楷体_GB2312"/>
          <w:lang w:val="en-US" w:eastAsia="zh-CN"/>
        </w:rPr>
      </w:pPr>
      <w:r>
        <w:rPr>
          <w:rFonts w:hint="eastAsia" w:ascii="楷体_GB2312" w:hAnsi="楷体_GB2312" w:eastAsia="楷体_GB2312" w:cs="楷体_GB2312"/>
          <w:color w:val="auto"/>
          <w:sz w:val="24"/>
          <w:szCs w:val="24"/>
          <w:lang w:val="en-US" w:eastAsia="zh-CN"/>
        </w:rPr>
        <w:t>铜鼓县应急管理局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lang w:val="en-US" w:eastAsia="zh-CN"/>
        </w:rPr>
        <w:t>15</w:t>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_Toc3294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宜春广播电视大学铜鼓分校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_Toc3294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_Toc3630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w:t>
      </w:r>
      <w:r>
        <w:rPr>
          <w:rFonts w:hint="eastAsia" w:ascii="楷体_GB2312" w:hAnsi="楷体_GB2312" w:eastAsia="楷体_GB2312" w:cs="楷体_GB2312"/>
          <w:sz w:val="24"/>
          <w:szCs w:val="24"/>
        </w:rPr>
        <w:t>中学</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_Toc3630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_Toc16772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铜鼓中等专业学校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_Toc16772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_Toc15964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幼儿园</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_Toc15964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lang w:val="en-US" w:eastAsia="zh-CN"/>
        </w:rPr>
        <w:t>义务教育阶段中小学校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val="en-US" w:eastAsia="zh-CN"/>
        </w:rPr>
        <w:t>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_Toc3384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铜鼓县房地产管理局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_Toc3384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_Toc29355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铜鼓润泉供水有限公司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_Toc29355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_Toc9644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铜鼓县福利院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_Toc9644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_Toc5710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铜鼓县殡葬管理所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_Toc5710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_Toc19562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铜鼓县二</w:t>
      </w:r>
      <w:r>
        <w:rPr>
          <w:rFonts w:hint="eastAsia" w:ascii="楷体_GB2312" w:hAnsi="楷体_GB2312" w:eastAsia="楷体_GB2312" w:cs="楷体_GB2312"/>
          <w:sz w:val="24"/>
          <w:szCs w:val="24"/>
          <w:lang w:val="en-US" w:eastAsia="zh-CN"/>
        </w:rPr>
        <w:t>0四出租车有限公司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_Toc19562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铜鼓县铜城天然气有限公司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00"/>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Cs w:val="28"/>
          <w:lang w:eastAsia="zh-CN"/>
        </w:rPr>
        <w:sectPr>
          <w:footerReference r:id="rId4" w:type="default"/>
          <w:pgSz w:w="8390" w:h="11905"/>
          <w:pgMar w:top="1134" w:right="1134" w:bottom="1134" w:left="1134" w:header="720" w:footer="720" w:gutter="0"/>
          <w:cols w:space="0" w:num="1"/>
          <w:rtlGutter w:val="0"/>
          <w:docGrid w:type="lines" w:linePitch="321" w:charSpace="0"/>
        </w:sectPr>
      </w:pPr>
      <w:r>
        <w:rPr>
          <w:rFonts w:hint="eastAsia" w:ascii="楷体_GB2312" w:hAnsi="楷体_GB2312" w:eastAsia="楷体_GB2312" w:cs="楷体_GB2312"/>
          <w:color w:val="auto"/>
          <w:szCs w:val="28"/>
          <w:lang w:eastAsia="zh-CN"/>
        </w:rPr>
        <w:fldChar w:fldCharType="end"/>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eastAsia="宋体"/>
          <w:color w:val="auto"/>
          <w:lang w:val="en-US" w:eastAsia="zh-CN"/>
        </w:rPr>
      </w:pPr>
      <w:bookmarkStart w:id="0" w:name="_Toc1492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铜鼓县住房和城乡建设局</w:t>
      </w:r>
      <w:bookmarkEnd w:id="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634"/>
        <w:gridCol w:w="1800"/>
        <w:gridCol w:w="1052"/>
        <w:gridCol w:w="244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spacing w:line="300" w:lineRule="exact"/>
              <w:jc w:val="center"/>
              <w:outlineLvl w:val="9"/>
              <w:rPr>
                <w:rFonts w:hint="eastAsia" w:ascii="Times New Roman" w:hAnsi="Times New Roman" w:cs="宋体"/>
                <w:color w:val="auto"/>
                <w:sz w:val="20"/>
                <w:szCs w:val="20"/>
              </w:rPr>
            </w:pPr>
            <w:r>
              <w:rPr>
                <w:rFonts w:hint="eastAsia" w:ascii="Times New Roman" w:hAnsi="Times New Roman" w:cs="宋体"/>
                <w:color w:val="auto"/>
                <w:sz w:val="20"/>
                <w:szCs w:val="20"/>
              </w:rPr>
              <w:t>收费项目</w:t>
            </w:r>
          </w:p>
        </w:tc>
        <w:tc>
          <w:tcPr>
            <w:tcW w:w="1800"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计费单位</w:t>
            </w:r>
          </w:p>
        </w:tc>
        <w:tc>
          <w:tcPr>
            <w:tcW w:w="1052"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收费标准</w:t>
            </w:r>
            <w:r>
              <w:rPr>
                <w:rFonts w:ascii="Times New Roman" w:hAnsi="Times New Roman"/>
                <w:color w:val="auto"/>
                <w:sz w:val="20"/>
                <w:szCs w:val="20"/>
              </w:rPr>
              <w:t>(</w:t>
            </w:r>
            <w:r>
              <w:rPr>
                <w:rFonts w:hint="eastAsia" w:ascii="Times New Roman" w:hAnsi="Times New Roman" w:cs="宋体"/>
                <w:color w:val="auto"/>
                <w:sz w:val="20"/>
                <w:szCs w:val="20"/>
              </w:rPr>
              <w:t>元</w:t>
            </w:r>
            <w:r>
              <w:rPr>
                <w:rFonts w:ascii="Times New Roman" w:hAnsi="Times New Roman"/>
                <w:color w:val="auto"/>
                <w:sz w:val="20"/>
                <w:szCs w:val="20"/>
              </w:rPr>
              <w:t>)</w:t>
            </w:r>
          </w:p>
        </w:tc>
        <w:tc>
          <w:tcPr>
            <w:tcW w:w="244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批准机关及文号</w:t>
            </w:r>
          </w:p>
        </w:tc>
        <w:tc>
          <w:tcPr>
            <w:tcW w:w="177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both"/>
              <w:outlineLvl w:val="9"/>
              <w:rPr>
                <w:rFonts w:hint="eastAsia" w:eastAsia="宋体"/>
                <w:b/>
                <w:bCs/>
                <w:color w:val="auto"/>
                <w:sz w:val="20"/>
                <w:szCs w:val="20"/>
                <w:lang w:eastAsia="zh-CN"/>
              </w:rPr>
            </w:pPr>
            <w:r>
              <w:rPr>
                <w:rFonts w:hint="eastAsia"/>
                <w:b/>
                <w:bCs/>
                <w:color w:val="auto"/>
                <w:sz w:val="20"/>
                <w:szCs w:val="20"/>
                <w:lang w:val="en-US" w:eastAsia="zh-CN"/>
              </w:rPr>
              <w:t>一</w:t>
            </w:r>
            <w:r>
              <w:rPr>
                <w:rFonts w:hint="eastAsia"/>
                <w:b/>
                <w:bCs/>
                <w:color w:val="auto"/>
                <w:sz w:val="20"/>
                <w:szCs w:val="20"/>
                <w:lang w:eastAsia="zh-CN"/>
              </w:rPr>
              <w:t>、</w:t>
            </w:r>
            <w:r>
              <w:rPr>
                <w:rFonts w:hint="eastAsia" w:ascii="Times New Roman" w:hAnsi="Times New Roman" w:cs="宋体"/>
                <w:b/>
                <w:bCs/>
                <w:color w:val="auto"/>
                <w:sz w:val="20"/>
                <w:szCs w:val="20"/>
              </w:rPr>
              <w:t>城市基础设施配套费</w:t>
            </w:r>
          </w:p>
        </w:tc>
        <w:tc>
          <w:tcPr>
            <w:tcW w:w="1800"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color w:val="auto"/>
                <w:sz w:val="20"/>
                <w:szCs w:val="20"/>
                <w:lang w:val="en-US" w:eastAsia="zh-CN"/>
              </w:rPr>
              <w:t>15</w:t>
            </w:r>
          </w:p>
        </w:tc>
        <w:tc>
          <w:tcPr>
            <w:tcW w:w="2445" w:type="dxa"/>
            <w:vAlign w:val="center"/>
          </w:tcPr>
          <w:p>
            <w:pPr>
              <w:keepNext w:val="0"/>
              <w:keepLines w:val="0"/>
              <w:pageBreakBefore w:val="0"/>
              <w:kinsoku/>
              <w:overflowPunct/>
              <w:topLinePunct w:val="0"/>
              <w:autoSpaceDE/>
              <w:autoSpaceDN/>
              <w:bidi w:val="0"/>
              <w:adjustRightInd/>
              <w:snapToGrid/>
              <w:jc w:val="center"/>
              <w:outlineLvl w:val="9"/>
              <w:rPr>
                <w:rFonts w:ascii="Times New Roman" w:hAnsi="Times New Roman"/>
                <w:color w:val="auto"/>
                <w:sz w:val="20"/>
                <w:szCs w:val="20"/>
              </w:rPr>
            </w:pPr>
          </w:p>
        </w:tc>
        <w:tc>
          <w:tcPr>
            <w:tcW w:w="1775" w:type="dxa"/>
            <w:vAlign w:val="center"/>
          </w:tcPr>
          <w:p>
            <w:pPr>
              <w:keepNext w:val="0"/>
              <w:keepLines w:val="0"/>
              <w:pageBreakBefore w:val="0"/>
              <w:kinsoku/>
              <w:overflowPunct/>
              <w:topLinePunct w:val="0"/>
              <w:autoSpaceDE/>
              <w:autoSpaceDN/>
              <w:bidi w:val="0"/>
              <w:adjustRightInd/>
              <w:snapToGrid/>
              <w:jc w:val="center"/>
              <w:outlineLvl w:val="9"/>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left"/>
              <w:outlineLvl w:val="9"/>
              <w:rPr>
                <w:rFonts w:hint="eastAsia"/>
                <w:b/>
                <w:bCs/>
                <w:color w:val="auto"/>
                <w:sz w:val="20"/>
                <w:szCs w:val="20"/>
                <w:lang w:eastAsia="zh-CN"/>
              </w:rPr>
            </w:pPr>
            <w:r>
              <w:rPr>
                <w:rFonts w:hint="eastAsia"/>
                <w:b/>
                <w:bCs/>
                <w:color w:val="auto"/>
                <w:sz w:val="20"/>
                <w:szCs w:val="20"/>
                <w:lang w:val="en-US" w:eastAsia="zh-CN"/>
              </w:rPr>
              <w:t>二</w:t>
            </w:r>
            <w:r>
              <w:rPr>
                <w:rFonts w:hint="eastAsia"/>
                <w:b/>
                <w:bCs/>
                <w:color w:val="auto"/>
                <w:sz w:val="20"/>
                <w:szCs w:val="20"/>
                <w:lang w:eastAsia="zh-CN"/>
              </w:rPr>
              <w:t>、物业维修资金</w:t>
            </w:r>
            <w:r>
              <w:rPr>
                <w:rFonts w:ascii="Times New Roman" w:hAnsi="Times New Roman"/>
                <w:b/>
                <w:bCs/>
                <w:color w:val="auto"/>
                <w:sz w:val="20"/>
                <w:szCs w:val="20"/>
              </w:rPr>
              <w:t>*</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052"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244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新建商品房</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10</w:t>
            </w:r>
          </w:p>
        </w:tc>
        <w:tc>
          <w:tcPr>
            <w:tcW w:w="2445"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eastAsia="zh-CN"/>
              </w:rPr>
              <w:t>铜府发[</w:t>
            </w:r>
            <w:r>
              <w:rPr>
                <w:rFonts w:hint="eastAsia"/>
                <w:color w:val="auto"/>
                <w:sz w:val="20"/>
                <w:szCs w:val="20"/>
                <w:lang w:val="en-US" w:eastAsia="zh-CN"/>
              </w:rPr>
              <w:t>2006]16号</w:t>
            </w: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20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开发企业自留物业</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15</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30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0081"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hint="eastAsia"/>
                <w:color w:val="auto"/>
                <w:sz w:val="20"/>
                <w:szCs w:val="20"/>
                <w:lang w:eastAsia="zh-CN"/>
              </w:rPr>
            </w:pPr>
            <w:r>
              <w:rPr>
                <w:rFonts w:hint="eastAsia"/>
                <w:color w:val="auto"/>
                <w:sz w:val="20"/>
                <w:szCs w:val="20"/>
                <w:lang w:eastAsia="zh-CN"/>
              </w:rPr>
              <w:t>赣财非税[</w:t>
            </w:r>
            <w:r>
              <w:rPr>
                <w:rFonts w:hint="eastAsia"/>
                <w:color w:val="auto"/>
                <w:sz w:val="20"/>
                <w:szCs w:val="20"/>
                <w:lang w:val="en-US" w:eastAsia="zh-CN"/>
              </w:rPr>
              <w:t>2019]9号文件规定：从2019年7月1日起，对易地扶贫搬迁项目免征城市基础设施配套费、不动产登记费，对确因地质条件等原因无法修建防空地下室的易地扶贫搬迁项目，免征防空地下室易地建设费；在商品住房开发项目中配套建设易地扶贫搬迁安置住房的，将安置住房建筑面积占总建筑面积的比例，计算应予免征的政府性基金和行政事业性收费。</w:t>
            </w:r>
            <w:r>
              <w:rPr>
                <w:rFonts w:hint="eastAsia"/>
                <w:color w:val="auto"/>
                <w:sz w:val="20"/>
                <w:szCs w:val="20"/>
              </w:rPr>
              <w:t>财政部税务总局公告2019年第76号</w:t>
            </w:r>
            <w:r>
              <w:rPr>
                <w:rFonts w:hint="eastAsia"/>
                <w:color w:val="auto"/>
                <w:sz w:val="20"/>
                <w:szCs w:val="20"/>
                <w:lang w:eastAsia="zh-CN"/>
              </w:rPr>
              <w:t>：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val="en-US" w:eastAsia="zh-CN"/>
        </w:rPr>
      </w:pPr>
      <w:bookmarkStart w:id="1" w:name="_Toc1058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lang w:val="en-US" w:eastAsia="zh-CN"/>
        </w:rPr>
        <w:t>执收部门：铜鼓县城市管理局</w:t>
      </w:r>
      <w:bookmarkEnd w:id="1"/>
    </w:p>
    <w:tbl>
      <w:tblPr>
        <w:tblStyle w:val="5"/>
        <w:tblW w:w="9912" w:type="dxa"/>
        <w:jc w:val="center"/>
        <w:shd w:val="clear" w:color="auto" w:fill="auto"/>
        <w:tblLayout w:type="fixed"/>
        <w:tblCellMar>
          <w:top w:w="0" w:type="dxa"/>
          <w:left w:w="0" w:type="dxa"/>
          <w:bottom w:w="0" w:type="dxa"/>
          <w:right w:w="0" w:type="dxa"/>
        </w:tblCellMar>
      </w:tblPr>
      <w:tblGrid>
        <w:gridCol w:w="2092"/>
        <w:gridCol w:w="1580"/>
        <w:gridCol w:w="759"/>
        <w:gridCol w:w="798"/>
        <w:gridCol w:w="851"/>
        <w:gridCol w:w="1"/>
        <w:gridCol w:w="1316"/>
        <w:gridCol w:w="2515"/>
      </w:tblGrid>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收费项目</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计费单位</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收费标准(元)</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批准机关及文号</w:t>
            </w: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市中心区内</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市中心区外</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一、</w:t>
            </w:r>
            <w:r>
              <w:rPr>
                <w:rFonts w:hint="eastAsia" w:ascii="宋体" w:hAnsi="宋体" w:eastAsia="宋体" w:cs="宋体"/>
                <w:b/>
                <w:bCs/>
                <w:i w:val="0"/>
                <w:color w:val="000000"/>
                <w:kern w:val="0"/>
                <w:sz w:val="20"/>
                <w:szCs w:val="20"/>
                <w:u w:val="none"/>
                <w:lang w:val="en-US" w:eastAsia="zh-CN" w:bidi="ar"/>
              </w:rPr>
              <w:t>城市道路占道费*</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干道</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间道</w:t>
            </w:r>
          </w:p>
        </w:tc>
        <w:tc>
          <w:tcPr>
            <w:tcW w:w="85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干道</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间道</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城市道路管理条例 建城[1993]410号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财税[2015]68号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赣价费字[1994]10号</w:t>
            </w:r>
          </w:p>
        </w:tc>
      </w:tr>
      <w:tr>
        <w:tblPrEx>
          <w:shd w:val="clear" w:color="auto" w:fill="auto"/>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1、主次干道路经营性占道费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0.40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0.30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2、主次干道路基建或其他占道费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0.05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二、城市道路挖掘修复费*</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51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城市道路管理条例 建城[1993]410号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财税[2015]68号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赣建城[2001]28号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赣建城[2006]41号</w:t>
            </w: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1.沥青道路</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2.水泥砼路面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3.石材路面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4.彩色人行道板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5.广场砖人行道板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6.石材人行道</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7.单位排水管理涵接入城市排水管网</w:t>
            </w:r>
          </w:p>
        </w:tc>
        <w:tc>
          <w:tcPr>
            <w:tcW w:w="1557" w:type="dxa"/>
            <w:gridSpan w:val="2"/>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Ф500以下</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20"/>
                <w:szCs w:val="20"/>
                <w:u w:val="none"/>
              </w:rPr>
            </w:pPr>
          </w:p>
        </w:tc>
        <w:tc>
          <w:tcPr>
            <w:tcW w:w="1557"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85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w:t>
            </w:r>
          </w:p>
        </w:tc>
        <w:tc>
          <w:tcPr>
            <w:tcW w:w="13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Ф600-Ф800</w:t>
            </w:r>
          </w:p>
        </w:tc>
        <w:tc>
          <w:tcPr>
            <w:tcW w:w="251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2" w:name="_Toc3046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铜鼓县县城环境卫生管理所</w:t>
      </w:r>
      <w:bookmarkEnd w:id="2"/>
      <w:r>
        <w:rPr>
          <w:rFonts w:hint="eastAsia" w:ascii="Times New Roman" w:hAnsi="Times New Roman" w:cs="宋体"/>
          <w:b/>
          <w:color w:val="auto"/>
          <w:sz w:val="28"/>
          <w:szCs w:val="28"/>
          <w:lang w:val="en-US" w:eastAsia="zh-CN"/>
        </w:rPr>
        <w:t xml:space="preserve"> </w:t>
      </w:r>
    </w:p>
    <w:tbl>
      <w:tblPr>
        <w:tblStyle w:val="5"/>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443"/>
        <w:gridCol w:w="1354"/>
        <w:gridCol w:w="1048"/>
        <w:gridCol w:w="869"/>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51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b/>
                <w:color w:val="auto"/>
                <w:sz w:val="20"/>
                <w:szCs w:val="20"/>
                <w:lang w:eastAsia="zh-CN"/>
              </w:rPr>
            </w:pPr>
            <w:r>
              <w:rPr>
                <w:rFonts w:hint="eastAsia" w:ascii="宋体" w:hAnsi="宋体" w:cs="宋体"/>
                <w:b/>
                <w:bCs/>
                <w:i w:val="0"/>
                <w:color w:val="000000"/>
                <w:kern w:val="0"/>
                <w:sz w:val="20"/>
                <w:szCs w:val="20"/>
                <w:u w:val="none"/>
                <w:lang w:val="en-US" w:eastAsia="zh-CN" w:bidi="ar"/>
              </w:rPr>
              <w:t>一、卫生服务费</w:t>
            </w:r>
          </w:p>
        </w:tc>
        <w:tc>
          <w:tcPr>
            <w:tcW w:w="240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lang w:eastAsia="zh-CN"/>
              </w:rPr>
              <w:t>铜价字</w:t>
            </w:r>
            <w:r>
              <w:rPr>
                <w:rFonts w:hint="eastAsia" w:asciiTheme="majorEastAsia" w:hAnsiTheme="majorEastAsia" w:eastAsiaTheme="majorEastAsia" w:cstheme="majorEastAsia"/>
                <w:color w:val="auto"/>
                <w:spacing w:val="-4"/>
                <w:sz w:val="20"/>
                <w:szCs w:val="20"/>
              </w:rPr>
              <w:t>[201</w:t>
            </w:r>
            <w:r>
              <w:rPr>
                <w:rFonts w:hint="eastAsia" w:asciiTheme="majorEastAsia" w:hAnsiTheme="majorEastAsia" w:eastAsiaTheme="majorEastAsia" w:cstheme="majorEastAsia"/>
                <w:color w:val="auto"/>
                <w:spacing w:val="-4"/>
                <w:sz w:val="20"/>
                <w:szCs w:val="20"/>
                <w:lang w:val="en-US" w:eastAsia="zh-CN"/>
              </w:rPr>
              <w:t>4</w:t>
            </w:r>
            <w:r>
              <w:rPr>
                <w:rFonts w:hint="eastAsia" w:asciiTheme="majorEastAsia" w:hAnsiTheme="majorEastAsia" w:eastAsiaTheme="majorEastAsia" w:cstheme="majorEastAsia"/>
                <w:color w:val="auto"/>
                <w:spacing w:val="-4"/>
                <w:sz w:val="20"/>
                <w:szCs w:val="20"/>
              </w:rPr>
              <w:t>]</w:t>
            </w:r>
            <w:r>
              <w:rPr>
                <w:rFonts w:hint="eastAsia" w:asciiTheme="majorEastAsia" w:hAnsiTheme="majorEastAsia" w:eastAsiaTheme="majorEastAsia" w:cstheme="majorEastAsia"/>
                <w:color w:val="auto"/>
                <w:spacing w:val="-4"/>
                <w:sz w:val="20"/>
                <w:szCs w:val="20"/>
                <w:lang w:val="en-US" w:eastAsia="zh-CN"/>
              </w:rPr>
              <w:t>21</w:t>
            </w:r>
            <w:r>
              <w:rPr>
                <w:rFonts w:hint="eastAsia" w:asciiTheme="majorEastAsia" w:hAnsiTheme="majorEastAsia" w:eastAsiaTheme="majorEastAsia" w:cstheme="majorEastAsia"/>
                <w:color w:val="auto"/>
                <w:spacing w:val="-4"/>
                <w:sz w:val="20"/>
                <w:szCs w:val="20"/>
              </w:rPr>
              <w:t>号</w:t>
            </w:r>
          </w:p>
        </w:tc>
        <w:tc>
          <w:tcPr>
            <w:tcW w:w="51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pacing w:val="-6"/>
                <w:sz w:val="20"/>
                <w:szCs w:val="20"/>
              </w:rPr>
            </w:pPr>
            <w:r>
              <w:rPr>
                <w:rFonts w:hint="eastAsia" w:asciiTheme="majorEastAsia" w:hAnsiTheme="majorEastAsia" w:eastAsiaTheme="majorEastAsia" w:cstheme="majorEastAsia"/>
                <w:color w:val="auto"/>
                <w:spacing w:val="-6"/>
                <w:sz w:val="20"/>
                <w:szCs w:val="20"/>
                <w:lang w:val="en-US" w:eastAsia="zh-CN"/>
              </w:rPr>
              <w:t>1、</w:t>
            </w:r>
            <w:r>
              <w:rPr>
                <w:rFonts w:hint="eastAsia" w:asciiTheme="majorEastAsia" w:hAnsiTheme="majorEastAsia" w:eastAsiaTheme="majorEastAsia" w:cstheme="majorEastAsia"/>
                <w:color w:val="auto"/>
                <w:spacing w:val="-6"/>
                <w:sz w:val="20"/>
                <w:szCs w:val="20"/>
              </w:rPr>
              <w:t>医院住院部按床位每床每月7元。</w:t>
            </w:r>
            <w:r>
              <w:rPr>
                <w:rFonts w:hint="eastAsia" w:asciiTheme="majorEastAsia" w:hAnsiTheme="majorEastAsia" w:eastAsiaTheme="majorEastAsia" w:cstheme="majorEastAsia"/>
                <w:color w:val="auto"/>
                <w:spacing w:val="-6"/>
                <w:sz w:val="20"/>
                <w:szCs w:val="20"/>
                <w:lang w:val="en-US" w:eastAsia="zh-CN"/>
              </w:rPr>
              <w:t>2、</w:t>
            </w:r>
            <w:r>
              <w:rPr>
                <w:rFonts w:hint="eastAsia" w:asciiTheme="majorEastAsia" w:hAnsiTheme="majorEastAsia" w:eastAsiaTheme="majorEastAsia" w:cstheme="majorEastAsia"/>
                <w:color w:val="auto"/>
                <w:spacing w:val="-6"/>
                <w:sz w:val="20"/>
                <w:szCs w:val="20"/>
              </w:rPr>
              <w:t>废品回收、摩托修理、煤球加工、竹木材加工的，每户每月10元。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6"/>
                <w:sz w:val="20"/>
                <w:szCs w:val="20"/>
                <w:lang w:val="en-US" w:eastAsia="zh-CN"/>
              </w:rPr>
            </w:pPr>
            <w:r>
              <w:rPr>
                <w:rFonts w:hint="eastAsia" w:asciiTheme="majorEastAsia" w:hAnsiTheme="majorEastAsia" w:eastAsiaTheme="majorEastAsia" w:cstheme="majorEastAsia"/>
                <w:color w:val="auto"/>
                <w:spacing w:val="-6"/>
                <w:sz w:val="20"/>
                <w:szCs w:val="20"/>
                <w:lang w:val="en-US" w:eastAsia="zh-CN"/>
              </w:rPr>
              <w:t>3、</w:t>
            </w:r>
            <w:r>
              <w:rPr>
                <w:rFonts w:hint="eastAsia" w:asciiTheme="majorEastAsia" w:hAnsiTheme="majorEastAsia" w:eastAsiaTheme="majorEastAsia" w:cstheme="majorEastAsia"/>
                <w:color w:val="auto"/>
                <w:spacing w:val="-6"/>
                <w:sz w:val="20"/>
                <w:szCs w:val="20"/>
              </w:rPr>
              <w:t>宾馆、酒家、营业性食堂、餐厅、招待所等在5桌以下每月30元，每增一桌加收5元。</w:t>
            </w:r>
            <w:r>
              <w:rPr>
                <w:rFonts w:hint="eastAsia" w:asciiTheme="majorEastAsia" w:hAnsiTheme="majorEastAsia" w:eastAsiaTheme="majorEastAsia" w:cstheme="majorEastAsia"/>
                <w:color w:val="auto"/>
                <w:spacing w:val="-6"/>
                <w:sz w:val="20"/>
                <w:szCs w:val="20"/>
                <w:lang w:val="en-US" w:eastAsia="zh-CN"/>
              </w:rPr>
              <w:t>4、</w:t>
            </w:r>
            <w:r>
              <w:rPr>
                <w:rFonts w:hint="eastAsia" w:asciiTheme="majorEastAsia" w:hAnsiTheme="majorEastAsia" w:eastAsiaTheme="majorEastAsia" w:cstheme="majorEastAsia"/>
                <w:color w:val="auto"/>
                <w:spacing w:val="-6"/>
                <w:sz w:val="20"/>
                <w:szCs w:val="20"/>
              </w:rPr>
              <w:t>宾馆、招待所、旅馆等按床位数每月每张8元。</w:t>
            </w:r>
            <w:r>
              <w:rPr>
                <w:rFonts w:hint="eastAsia" w:asciiTheme="majorEastAsia" w:hAnsiTheme="majorEastAsia" w:eastAsiaTheme="majorEastAsia" w:cstheme="majorEastAsia"/>
                <w:color w:val="auto"/>
                <w:spacing w:val="-6"/>
                <w:sz w:val="20"/>
                <w:szCs w:val="20"/>
                <w:lang w:val="en-US" w:eastAsia="zh-CN"/>
              </w:rPr>
              <w:t>5、</w:t>
            </w:r>
            <w:r>
              <w:rPr>
                <w:rFonts w:hint="eastAsia" w:asciiTheme="majorEastAsia" w:hAnsiTheme="majorEastAsia" w:eastAsiaTheme="majorEastAsia" w:cstheme="majorEastAsia"/>
                <w:color w:val="auto"/>
                <w:spacing w:val="-6"/>
                <w:sz w:val="20"/>
                <w:szCs w:val="20"/>
              </w:rPr>
              <w:t>客运车站按营业面积每平方米每月0.3元。</w:t>
            </w:r>
            <w:r>
              <w:rPr>
                <w:rFonts w:hint="eastAsia" w:asciiTheme="majorEastAsia" w:hAnsiTheme="majorEastAsia" w:eastAsiaTheme="majorEastAsia" w:cstheme="majorEastAsia"/>
                <w:color w:val="auto"/>
                <w:spacing w:val="-6"/>
                <w:sz w:val="20"/>
                <w:szCs w:val="20"/>
                <w:lang w:val="en-US" w:eastAsia="zh-CN"/>
              </w:rPr>
              <w:t>6、</w:t>
            </w:r>
            <w:r>
              <w:rPr>
                <w:rFonts w:hint="eastAsia" w:asciiTheme="majorEastAsia" w:hAnsiTheme="majorEastAsia" w:eastAsiaTheme="majorEastAsia" w:cstheme="majorEastAsia"/>
                <w:color w:val="auto"/>
                <w:spacing w:val="-6"/>
                <w:sz w:val="20"/>
                <w:szCs w:val="20"/>
              </w:rPr>
              <w:t>停车场按经营面积每平方米每月0.5元。</w:t>
            </w:r>
            <w:r>
              <w:rPr>
                <w:rFonts w:hint="eastAsia" w:asciiTheme="majorEastAsia" w:hAnsiTheme="majorEastAsia" w:eastAsiaTheme="majorEastAsia" w:cstheme="majorEastAsia"/>
                <w:color w:val="auto"/>
                <w:spacing w:val="-6"/>
                <w:sz w:val="20"/>
                <w:szCs w:val="20"/>
                <w:lang w:val="en-US" w:eastAsia="zh-CN"/>
              </w:rPr>
              <w:t>7、</w:t>
            </w:r>
            <w:r>
              <w:rPr>
                <w:rFonts w:hint="eastAsia" w:asciiTheme="majorEastAsia" w:hAnsiTheme="majorEastAsia" w:eastAsiaTheme="majorEastAsia" w:cstheme="majorEastAsia"/>
                <w:color w:val="auto"/>
                <w:spacing w:val="-6"/>
                <w:sz w:val="20"/>
                <w:szCs w:val="20"/>
              </w:rPr>
              <w:t>理发店、美容美发</w:t>
            </w:r>
            <w:r>
              <w:rPr>
                <w:rFonts w:hint="eastAsia" w:asciiTheme="majorEastAsia" w:hAnsiTheme="majorEastAsia" w:eastAsiaTheme="majorEastAsia" w:cstheme="majorEastAsia"/>
                <w:color w:val="auto"/>
                <w:spacing w:val="-6"/>
                <w:sz w:val="20"/>
                <w:szCs w:val="20"/>
                <w:lang w:eastAsia="zh-CN"/>
              </w:rPr>
              <w:t>店</w:t>
            </w:r>
            <w:r>
              <w:rPr>
                <w:rFonts w:hint="eastAsia" w:asciiTheme="majorEastAsia" w:hAnsiTheme="majorEastAsia" w:eastAsiaTheme="majorEastAsia" w:cstheme="majorEastAsia"/>
                <w:color w:val="auto"/>
                <w:spacing w:val="-6"/>
                <w:sz w:val="20"/>
                <w:szCs w:val="20"/>
              </w:rPr>
              <w:t>每月7元/户。</w:t>
            </w:r>
            <w:r>
              <w:rPr>
                <w:rFonts w:hint="eastAsia" w:asciiTheme="majorEastAsia" w:hAnsiTheme="majorEastAsia" w:eastAsiaTheme="majorEastAsia" w:cstheme="majorEastAsia"/>
                <w:color w:val="auto"/>
                <w:spacing w:val="-6"/>
                <w:sz w:val="20"/>
                <w:szCs w:val="20"/>
                <w:lang w:val="en-US" w:eastAsia="zh-CN"/>
              </w:rPr>
              <w:t>8、</w:t>
            </w:r>
            <w:r>
              <w:rPr>
                <w:rFonts w:hint="eastAsia" w:asciiTheme="majorEastAsia" w:hAnsiTheme="majorEastAsia" w:eastAsiaTheme="majorEastAsia" w:cstheme="majorEastAsia"/>
                <w:color w:val="auto"/>
                <w:spacing w:val="-6"/>
                <w:sz w:val="20"/>
                <w:szCs w:val="20"/>
              </w:rPr>
              <w:t>按摩、踩背、足浴等类似的服务业每月30元。</w:t>
            </w:r>
            <w:r>
              <w:rPr>
                <w:rFonts w:hint="eastAsia" w:asciiTheme="majorEastAsia" w:hAnsiTheme="majorEastAsia" w:eastAsiaTheme="majorEastAsia" w:cstheme="majorEastAsia"/>
                <w:color w:val="auto"/>
                <w:spacing w:val="-6"/>
                <w:sz w:val="20"/>
                <w:szCs w:val="20"/>
                <w:lang w:val="en-US" w:eastAsia="zh-CN"/>
              </w:rPr>
              <w:t>9、</w:t>
            </w:r>
            <w:r>
              <w:rPr>
                <w:rFonts w:hint="eastAsia" w:asciiTheme="majorEastAsia" w:hAnsiTheme="majorEastAsia" w:eastAsiaTheme="majorEastAsia" w:cstheme="majorEastAsia"/>
                <w:color w:val="auto"/>
                <w:spacing w:val="-6"/>
                <w:sz w:val="20"/>
                <w:szCs w:val="20"/>
              </w:rPr>
              <w:t>浴室每一个水龙头或一个淋位每月5元。</w:t>
            </w:r>
            <w:r>
              <w:rPr>
                <w:rFonts w:hint="eastAsia" w:asciiTheme="majorEastAsia" w:hAnsiTheme="majorEastAsia" w:eastAsiaTheme="majorEastAsia" w:cstheme="majorEastAsia"/>
                <w:color w:val="auto"/>
                <w:spacing w:val="-6"/>
                <w:sz w:val="20"/>
                <w:szCs w:val="20"/>
                <w:lang w:val="en-US" w:eastAsia="zh-CN"/>
              </w:rPr>
              <w:t>10、</w:t>
            </w:r>
            <w:r>
              <w:rPr>
                <w:rFonts w:hint="eastAsia" w:asciiTheme="majorEastAsia" w:hAnsiTheme="majorEastAsia" w:eastAsiaTheme="majorEastAsia" w:cstheme="majorEastAsia"/>
                <w:color w:val="auto"/>
                <w:spacing w:val="-6"/>
                <w:sz w:val="20"/>
                <w:szCs w:val="20"/>
              </w:rPr>
              <w:t>网吧室、电子游戏室、电脑培训（10台以下）每月15元，每增加一台电脑，增收2元。</w:t>
            </w:r>
            <w:r>
              <w:rPr>
                <w:rFonts w:hint="eastAsia" w:asciiTheme="majorEastAsia" w:hAnsiTheme="majorEastAsia" w:eastAsiaTheme="majorEastAsia" w:cstheme="majorEastAsia"/>
                <w:color w:val="auto"/>
                <w:spacing w:val="-6"/>
                <w:sz w:val="20"/>
                <w:szCs w:val="20"/>
                <w:lang w:val="en-US" w:eastAsia="zh-CN"/>
              </w:rPr>
              <w:t>11、</w:t>
            </w:r>
            <w:r>
              <w:rPr>
                <w:rFonts w:hint="eastAsia" w:asciiTheme="majorEastAsia" w:hAnsiTheme="majorEastAsia" w:eastAsiaTheme="majorEastAsia" w:cstheme="majorEastAsia"/>
                <w:color w:val="auto"/>
                <w:spacing w:val="-6"/>
                <w:sz w:val="20"/>
                <w:szCs w:val="20"/>
              </w:rPr>
              <w:t>录像厅、歌舞厅、公共游泳池等类似的娱乐场所每月30元。</w:t>
            </w:r>
            <w:r>
              <w:rPr>
                <w:rFonts w:hint="eastAsia" w:asciiTheme="majorEastAsia" w:hAnsiTheme="majorEastAsia" w:eastAsiaTheme="majorEastAsia" w:cstheme="majorEastAsia"/>
                <w:color w:val="auto"/>
                <w:spacing w:val="-6"/>
                <w:sz w:val="20"/>
                <w:szCs w:val="20"/>
                <w:lang w:val="en-US" w:eastAsia="zh-CN"/>
              </w:rPr>
              <w:t>12、</w:t>
            </w:r>
            <w:r>
              <w:rPr>
                <w:rFonts w:hint="eastAsia" w:asciiTheme="majorEastAsia" w:hAnsiTheme="majorEastAsia" w:eastAsiaTheme="majorEastAsia" w:cstheme="majorEastAsia"/>
                <w:color w:val="auto"/>
                <w:spacing w:val="-6"/>
                <w:sz w:val="20"/>
                <w:szCs w:val="20"/>
              </w:rPr>
              <w:t>卡拉OK、咖啡厅、茶楼、休闲城每包房每月8元。</w:t>
            </w:r>
            <w:r>
              <w:rPr>
                <w:rFonts w:hint="eastAsia" w:asciiTheme="majorEastAsia" w:hAnsiTheme="majorEastAsia" w:eastAsiaTheme="majorEastAsia" w:cstheme="majorEastAsia"/>
                <w:color w:val="auto"/>
                <w:spacing w:val="-6"/>
                <w:sz w:val="20"/>
                <w:szCs w:val="20"/>
                <w:lang w:val="en-US" w:eastAsia="zh-CN"/>
              </w:rPr>
              <w:t>13、</w:t>
            </w:r>
            <w:r>
              <w:rPr>
                <w:rFonts w:hint="eastAsia" w:asciiTheme="majorEastAsia" w:hAnsiTheme="majorEastAsia" w:eastAsiaTheme="majorEastAsia" w:cstheme="majorEastAsia"/>
                <w:color w:val="auto"/>
                <w:spacing w:val="-6"/>
                <w:sz w:val="20"/>
                <w:szCs w:val="20"/>
              </w:rPr>
              <w:t>展销摊位及临时搭建文艺娱乐等其它大型活动场所，每平方米每日1元。</w:t>
            </w:r>
            <w:r>
              <w:rPr>
                <w:rFonts w:hint="eastAsia" w:asciiTheme="majorEastAsia" w:hAnsiTheme="majorEastAsia" w:eastAsiaTheme="majorEastAsia" w:cstheme="majorEastAsia"/>
                <w:color w:val="auto"/>
                <w:spacing w:val="-6"/>
                <w:sz w:val="20"/>
                <w:szCs w:val="20"/>
                <w:lang w:val="en-US" w:eastAsia="zh-CN"/>
              </w:rPr>
              <w:t>14、</w:t>
            </w:r>
            <w:r>
              <w:rPr>
                <w:rFonts w:hint="eastAsia" w:asciiTheme="majorEastAsia" w:hAnsiTheme="majorEastAsia" w:eastAsiaTheme="majorEastAsia" w:cstheme="majorEastAsia"/>
                <w:color w:val="auto"/>
                <w:spacing w:val="-6"/>
                <w:sz w:val="20"/>
                <w:szCs w:val="20"/>
              </w:rPr>
              <w:t>管道疏通服务费每次每米15—30元。</w:t>
            </w:r>
            <w:r>
              <w:rPr>
                <w:rFonts w:hint="eastAsia" w:asciiTheme="majorEastAsia" w:hAnsiTheme="majorEastAsia" w:eastAsiaTheme="majorEastAsia" w:cstheme="majorEastAsia"/>
                <w:color w:val="auto"/>
                <w:spacing w:val="-6"/>
                <w:sz w:val="20"/>
                <w:szCs w:val="20"/>
                <w:lang w:val="en-US" w:eastAsia="zh-CN"/>
              </w:rPr>
              <w:t>15、</w:t>
            </w:r>
            <w:r>
              <w:rPr>
                <w:rFonts w:hint="eastAsia" w:asciiTheme="majorEastAsia" w:hAnsiTheme="majorEastAsia" w:eastAsiaTheme="majorEastAsia" w:cstheme="majorEastAsia"/>
                <w:color w:val="auto"/>
                <w:spacing w:val="-6"/>
                <w:sz w:val="20"/>
                <w:szCs w:val="20"/>
              </w:rPr>
              <w:t>清掏化粪池每平方米40—80元</w:t>
            </w:r>
            <w:r>
              <w:rPr>
                <w:rFonts w:hint="eastAsia" w:asciiTheme="majorEastAsia" w:hAnsiTheme="majorEastAsia" w:eastAsiaTheme="majorEastAsia" w:cstheme="majorEastAsia"/>
                <w:color w:val="auto"/>
                <w:spacing w:val="-6"/>
                <w:sz w:val="20"/>
                <w:szCs w:val="20"/>
                <w:lang w:eastAsia="zh-CN"/>
              </w:rPr>
              <w:t>。</w:t>
            </w:r>
            <w:r>
              <w:rPr>
                <w:rFonts w:hint="eastAsia" w:asciiTheme="majorEastAsia" w:hAnsiTheme="majorEastAsia" w:eastAsiaTheme="majorEastAsia" w:cstheme="majorEastAsia"/>
                <w:color w:val="auto"/>
                <w:spacing w:val="-6"/>
                <w:sz w:val="20"/>
                <w:szCs w:val="20"/>
                <w:lang w:val="en-US" w:eastAsia="zh-CN"/>
              </w:rPr>
              <w:t>16.果、杂、日用、百货、副食、家电、书籍、建材、五金等店面20平方米以下每月7元，每增加1平方米加1元。17.粮油、水产加工、饮料、制冷、糕点、家俱销售加工、修（洗）车、建筑材料等个体户20平方米以下7元/月，每增加1平方米加0.5元。</w:t>
            </w:r>
          </w:p>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pacing w:val="-6"/>
                <w:sz w:val="20"/>
                <w:szCs w:val="20"/>
              </w:rPr>
              <w:t>涉及一个单位或店面有多种经营项目的，只按一种项目收费</w:t>
            </w:r>
            <w:r>
              <w:rPr>
                <w:rFonts w:hint="eastAsia" w:asciiTheme="majorEastAsia" w:hAnsiTheme="majorEastAsia" w:eastAsiaTheme="majorEastAsia" w:cstheme="majorEastAsia"/>
                <w:color w:val="auto"/>
                <w:spacing w:val="-6"/>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05"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居民住户</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每户</w:t>
            </w:r>
            <w:r>
              <w:rPr>
                <w:rFonts w:hint="eastAsia" w:asciiTheme="majorEastAsia" w:hAnsiTheme="majorEastAsia" w:eastAsiaTheme="majorEastAsia" w:cstheme="majorEastAsia"/>
                <w:color w:val="auto"/>
                <w:sz w:val="20"/>
                <w:szCs w:val="20"/>
                <w:lang w:val="en-US" w:eastAsia="zh-CN"/>
              </w:rPr>
              <w:t>/每月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5</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9"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2、</w:t>
            </w:r>
            <w:r>
              <w:rPr>
                <w:rFonts w:hint="eastAsia" w:asciiTheme="majorEastAsia" w:hAnsiTheme="majorEastAsia" w:eastAsiaTheme="majorEastAsia" w:cstheme="majorEastAsia"/>
                <w:color w:val="auto"/>
                <w:sz w:val="20"/>
                <w:szCs w:val="20"/>
                <w:lang w:eastAsia="zh-CN"/>
              </w:rPr>
              <w:t>行政事业单位（含工业企业）</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val="en-US" w:eastAsia="zh-CN"/>
              </w:rPr>
              <w:t>/人</w:t>
            </w:r>
            <w:r>
              <w:rPr>
                <w:rFonts w:hint="eastAsia" w:asciiTheme="majorEastAsia" w:hAnsiTheme="majorEastAsia" w:eastAsiaTheme="majorEastAsia" w:cstheme="majorEastAsia"/>
                <w:color w:val="auto"/>
                <w:sz w:val="20"/>
                <w:szCs w:val="20"/>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41"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3、</w:t>
            </w:r>
            <w:r>
              <w:rPr>
                <w:rFonts w:hint="eastAsia" w:asciiTheme="majorEastAsia" w:hAnsiTheme="majorEastAsia" w:eastAsiaTheme="majorEastAsia" w:cstheme="majorEastAsia"/>
                <w:color w:val="auto"/>
                <w:sz w:val="20"/>
                <w:szCs w:val="20"/>
                <w:lang w:eastAsia="zh-CN"/>
              </w:rPr>
              <w:t>大中型超市、商场</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户</w:t>
            </w:r>
            <w:r>
              <w:rPr>
                <w:rFonts w:hint="eastAsia" w:asciiTheme="majorEastAsia" w:hAnsiTheme="majorEastAsia" w:eastAsiaTheme="majorEastAsia" w:cstheme="majorEastAsia"/>
                <w:color w:val="auto"/>
                <w:sz w:val="20"/>
                <w:szCs w:val="20"/>
                <w:lang w:val="en-US" w:eastAsia="zh-CN"/>
              </w:rPr>
              <w:t>/</w:t>
            </w:r>
            <w:r>
              <w:rPr>
                <w:rFonts w:hint="eastAsia" w:asciiTheme="majorEastAsia" w:hAnsiTheme="majorEastAsia" w:eastAsiaTheme="majorEastAsia" w:cstheme="majorEastAsia"/>
                <w:color w:val="auto"/>
                <w:sz w:val="20"/>
                <w:szCs w:val="20"/>
                <w:lang w:eastAsia="zh-CN"/>
              </w:rPr>
              <w:t>平方米</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0.</w:t>
            </w:r>
            <w:r>
              <w:rPr>
                <w:rFonts w:hint="eastAsia" w:asciiTheme="majorEastAsia" w:hAnsiTheme="majorEastAsia" w:eastAsiaTheme="majorEastAsia" w:cstheme="majorEastAsia"/>
                <w:color w:val="auto"/>
                <w:sz w:val="20"/>
                <w:szCs w:val="20"/>
                <w:lang w:val="en-US" w:eastAsia="zh-CN"/>
              </w:rPr>
              <w:t>3</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54"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门诊、诊所、卫生保健单位</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（20平方米以上每增加一平方米加1元）</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5、各种饮食店、夜宵摊、快餐、冷饮及其摊点</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（20平方米以上每增加一平平方米加0.5元）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3" w:name="_Toc1361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林业局</w:t>
      </w:r>
      <w:bookmarkEnd w:id="3"/>
    </w:p>
    <w:tbl>
      <w:tblPr>
        <w:tblStyle w:val="5"/>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2004"/>
        <w:gridCol w:w="1808"/>
        <w:gridCol w:w="1133"/>
        <w:gridCol w:w="2051"/>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0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0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一、森林植被恢复费*</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2051"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1、郁闭度0.2以上的乔木林地（含采伐迹地、火烧迹地）、竹林地、苗圃地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赣财非税[2016]3号</w:t>
            </w: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2、灌木林地、疏林地、未成林造林地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3、宜林地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4、国家和省级公益林林地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6-20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5、城市规划区的林地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6、城市规划区外的林地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二、林业产权交易费</w:t>
            </w: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1000亩（含）以下</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赣发改收费字[2009]1212号</w:t>
            </w: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1000亩以上</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4" w:name="_Toc2412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水利局</w:t>
      </w:r>
      <w:bookmarkEnd w:id="4"/>
    </w:p>
    <w:tbl>
      <w:tblPr>
        <w:tblStyle w:val="5"/>
        <w:tblW w:w="11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1397"/>
        <w:gridCol w:w="1131"/>
        <w:gridCol w:w="1145"/>
        <w:gridCol w:w="1191"/>
        <w:gridCol w:w="2373"/>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636"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97"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6" w:type="dxa"/>
            <w:vMerge w:val="restart"/>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一、水资源费*</w:t>
            </w:r>
          </w:p>
        </w:tc>
        <w:tc>
          <w:tcPr>
            <w:tcW w:w="1397" w:type="dxa"/>
            <w:vMerge w:val="restart"/>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131"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地表水</w:t>
            </w:r>
          </w:p>
        </w:tc>
        <w:tc>
          <w:tcPr>
            <w:tcW w:w="2336" w:type="dxa"/>
            <w:gridSpan w:val="2"/>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地下水</w:t>
            </w:r>
          </w:p>
        </w:tc>
        <w:tc>
          <w:tcPr>
            <w:tcW w:w="2373"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赣发改收费字[2013]175号</w:t>
            </w:r>
          </w:p>
        </w:tc>
        <w:tc>
          <w:tcPr>
            <w:tcW w:w="1523" w:type="dxa"/>
            <w:vMerge w:val="restart"/>
            <w:vAlign w:val="center"/>
          </w:tcPr>
          <w:p>
            <w:pPr>
              <w:keepNext w:val="0"/>
              <w:keepLines w:val="0"/>
              <w:pageBreakBefore w:val="0"/>
              <w:kinsoku/>
              <w:overflowPunct/>
              <w:topLinePunct w:val="0"/>
              <w:autoSpaceDE/>
              <w:autoSpaceDN/>
              <w:bidi w:val="0"/>
              <w:adjustRightInd/>
              <w:snapToGrid/>
              <w:spacing w:line="260" w:lineRule="exact"/>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农业生产用水免交。含种植业、畜牧业、水产养殖业、林业。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636"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rPr>
            </w:pPr>
          </w:p>
        </w:tc>
        <w:tc>
          <w:tcPr>
            <w:tcW w:w="1397"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131"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145"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覆盖区外</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覆盖区内</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1、</w:t>
            </w:r>
            <w:r>
              <w:rPr>
                <w:rFonts w:hint="eastAsia" w:asciiTheme="majorEastAsia" w:hAnsiTheme="majorEastAsia" w:eastAsiaTheme="majorEastAsia" w:cstheme="majorEastAsia"/>
                <w:color w:val="auto"/>
                <w:sz w:val="20"/>
                <w:szCs w:val="20"/>
                <w:lang w:eastAsia="zh-CN"/>
              </w:rPr>
              <w:t>工商业取水</w:t>
            </w:r>
          </w:p>
        </w:tc>
        <w:tc>
          <w:tcPr>
            <w:tcW w:w="1397"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145"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0.48</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城镇公共取水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0.08</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0.16</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0.32</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水</w:t>
            </w:r>
            <w:r>
              <w:rPr>
                <w:rFonts w:hint="eastAsia" w:asciiTheme="majorEastAsia" w:hAnsiTheme="majorEastAsia" w:eastAsiaTheme="majorEastAsia" w:cstheme="majorEastAsia"/>
                <w:color w:val="auto"/>
                <w:sz w:val="20"/>
                <w:szCs w:val="20"/>
                <w:lang w:eastAsia="zh-CN"/>
              </w:rPr>
              <w:t>力</w:t>
            </w:r>
            <w:r>
              <w:rPr>
                <w:rFonts w:hint="eastAsia" w:asciiTheme="majorEastAsia" w:hAnsiTheme="majorEastAsia" w:eastAsiaTheme="majorEastAsia" w:cstheme="majorEastAsia"/>
                <w:color w:val="auto"/>
                <w:sz w:val="20"/>
                <w:szCs w:val="20"/>
              </w:rPr>
              <w:t>发电取水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元/千瓦时</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0.003</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其它取水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0.48</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二、县农业灌溉终端水价</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计费单位</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收费标准</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1、水源和骨干工程运行维护</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元/亩</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18.17</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铜府字</w:t>
            </w:r>
            <w:r>
              <w:rPr>
                <w:rFonts w:hint="eastAsia" w:asciiTheme="majorEastAsia" w:hAnsiTheme="majorEastAsia" w:eastAsiaTheme="majorEastAsia" w:cstheme="majorEastAsia"/>
                <w:color w:val="auto"/>
                <w:sz w:val="20"/>
                <w:szCs w:val="20"/>
                <w:lang w:val="en-US" w:eastAsia="zh-CN"/>
              </w:rPr>
              <w:t>[2022]19号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2、田间工程运行维护</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元/亩</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9.15</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铜府字</w:t>
            </w:r>
            <w:r>
              <w:rPr>
                <w:rFonts w:hint="eastAsia" w:asciiTheme="majorEastAsia" w:hAnsiTheme="majorEastAsia" w:eastAsiaTheme="majorEastAsia" w:cstheme="majorEastAsia"/>
                <w:color w:val="auto"/>
                <w:sz w:val="20"/>
                <w:szCs w:val="20"/>
                <w:lang w:val="en-US" w:eastAsia="zh-CN"/>
              </w:rPr>
              <w:t>[2022]19号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三、农村饮水工程水价</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元/吨</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1.00</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铜发改字</w:t>
            </w:r>
            <w:r>
              <w:rPr>
                <w:rFonts w:hint="eastAsia" w:asciiTheme="majorEastAsia" w:hAnsiTheme="majorEastAsia" w:eastAsiaTheme="majorEastAsia" w:cstheme="majorEastAsia"/>
                <w:color w:val="auto"/>
                <w:sz w:val="20"/>
                <w:szCs w:val="20"/>
                <w:lang w:val="en-US" w:eastAsia="zh-CN"/>
              </w:rPr>
              <w:t>[2020]93号</w:t>
            </w:r>
          </w:p>
        </w:tc>
        <w:tc>
          <w:tcPr>
            <w:tcW w:w="152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收费主体为农村饮水工程产权单位，水价允许下浮</w:t>
            </w:r>
          </w:p>
        </w:tc>
      </w:tr>
    </w:tbl>
    <w:p>
      <w:pPr>
        <w:rPr>
          <w:rFonts w:hint="eastAsia" w:ascii="黑体" w:hAnsi="宋体" w:eastAsia="黑体" w:cs="黑体"/>
          <w:color w:val="auto"/>
          <w:sz w:val="28"/>
        </w:rPr>
      </w:pPr>
      <w:r>
        <w:rPr>
          <w:rFonts w:hint="eastAsia" w:ascii="黑体" w:hAnsi="宋体" w:eastAsia="黑体" w:cs="黑体"/>
          <w:color w:val="auto"/>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5" w:name="_Toc28058"/>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自然资源局</w:t>
      </w:r>
      <w:bookmarkEnd w:id="5"/>
    </w:p>
    <w:tbl>
      <w:tblPr>
        <w:tblStyle w:val="5"/>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2"/>
        <w:gridCol w:w="1514"/>
        <w:gridCol w:w="722"/>
        <w:gridCol w:w="928"/>
        <w:gridCol w:w="2188"/>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收费项目</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计费单位</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收费标准(元)</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批准机关及文号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一、耕地开垦费*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eastAsia" w:ascii="Times New Roman" w:hAnsi="Times New Roman" w:cs="Times New Roman" w:eastAsiaTheme="majorEastAsia"/>
                <w:color w:val="auto"/>
                <w:spacing w:val="-4"/>
                <w:sz w:val="20"/>
                <w:szCs w:val="20"/>
                <w:lang w:eastAsia="zh-CN"/>
              </w:rPr>
            </w:pPr>
            <w:r>
              <w:rPr>
                <w:rFonts w:hint="default" w:ascii="Times New Roman" w:hAnsi="Times New Roman" w:cs="Times New Roman" w:eastAsiaTheme="majorEastAsia"/>
                <w:color w:val="auto"/>
                <w:spacing w:val="-4"/>
                <w:sz w:val="20"/>
                <w:szCs w:val="20"/>
              </w:rPr>
              <w:t>《土地管理法》《土地管理法实施条例》《江西省实施&lt;中华人民共和国土地管理法&gt;办法》</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宜府发[2016]9号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地方政府上缴项目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城市规划区外</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center"/>
        </w:trPr>
        <w:tc>
          <w:tcPr>
            <w:tcW w:w="172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二、不动产登记费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发改价格规[2016]2559号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赣发改收费[2016]1566号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财税[2016]79号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财税[2019]45号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11"/>
                <w:sz w:val="20"/>
                <w:szCs w:val="20"/>
              </w:rPr>
              <w:t>自2019年7月1日起减免不动产登记费：（一）对下列情形免征不动产登记费：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申请办理变更登记、更正登记的；2.申请办理森林、林木所有权及其占用的林地承包经营权或林地使用权，及相关抵押权、地役权不动产权利登记的；3.申请办理耕地、草地、水域、滩涂等土地承包经营权或国有农用地使用权，及相关抵押权、地役权不动产权利登记的。</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（二）对申请办理车库、车位、储藏室不动产登记，单独核发不动产权属证书或登记证明的，不动产登记费由原非住宅不动产登记每件550元，减按住宅类不动产登记每件80元收取。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2.非住宅类*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val="en-US" w:eastAsia="zh-CN"/>
              </w:rPr>
            </w:pPr>
            <w:r>
              <w:rPr>
                <w:rFonts w:hint="eastAsia" w:ascii="Times New Roman" w:hAnsi="Times New Roman" w:cs="Times New Roman" w:eastAsiaTheme="majorEastAsia"/>
                <w:color w:val="auto"/>
                <w:sz w:val="20"/>
                <w:szCs w:val="20"/>
                <w:lang w:val="en-US" w:eastAsia="zh-CN"/>
              </w:rPr>
              <w:t>550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三、不动产权属证书工本费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元/本</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初发不收费，每增加一本收10元。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eastAsia" w:ascii="Times New Roman" w:hAnsi="Times New Roman" w:cs="Times New Roman" w:eastAsiaTheme="majorEastAsia"/>
                <w:b/>
                <w:bCs/>
                <w:color w:val="auto"/>
                <w:sz w:val="20"/>
                <w:szCs w:val="20"/>
                <w:lang w:val="en-US" w:eastAsia="zh-CN"/>
              </w:rPr>
              <w:t>四</w:t>
            </w:r>
            <w:r>
              <w:rPr>
                <w:rFonts w:hint="default" w:ascii="Times New Roman" w:hAnsi="Times New Roman" w:cs="Times New Roman" w:eastAsiaTheme="majorEastAsia"/>
                <w:b/>
                <w:bCs/>
                <w:color w:val="auto"/>
                <w:sz w:val="20"/>
                <w:szCs w:val="20"/>
              </w:rPr>
              <w:t>、新增建设用地有偿使用费*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eastAsia="zh-CN"/>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详见文</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财综[2006]48号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kern w:val="2"/>
                <w:sz w:val="20"/>
                <w:szCs w:val="20"/>
                <w:lang w:val="en-US" w:eastAsia="zh-CN" w:bidi="ar-SA"/>
              </w:rPr>
            </w:pPr>
            <w:r>
              <w:rPr>
                <w:rFonts w:hint="eastAsia" w:ascii="Times New Roman" w:hAnsi="Times New Roman" w:cs="Times New Roman" w:eastAsiaTheme="majorEastAsia"/>
                <w:b/>
                <w:bCs/>
                <w:color w:val="auto"/>
                <w:sz w:val="20"/>
                <w:szCs w:val="20"/>
                <w:lang w:val="en-US" w:eastAsia="zh-CN"/>
              </w:rPr>
              <w:t>五</w:t>
            </w:r>
            <w:r>
              <w:rPr>
                <w:rFonts w:hint="default" w:ascii="Times New Roman" w:hAnsi="Times New Roman" w:cs="Times New Roman" w:eastAsiaTheme="majorEastAsia"/>
                <w:b/>
                <w:bCs/>
                <w:color w:val="auto"/>
                <w:sz w:val="20"/>
                <w:szCs w:val="20"/>
              </w:rPr>
              <w:t>、防洪保安资金</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kern w:val="2"/>
                <w:sz w:val="20"/>
                <w:szCs w:val="20"/>
                <w:lang w:val="en-US" w:eastAsia="zh-CN" w:bidi="ar-SA"/>
              </w:rPr>
            </w:pPr>
            <w:r>
              <w:rPr>
                <w:rFonts w:hint="default" w:ascii="Times New Roman" w:hAnsi="Times New Roman" w:cs="Times New Roman" w:eastAsiaTheme="majorEastAsia"/>
                <w:color w:val="auto"/>
                <w:spacing w:val="-4"/>
                <w:sz w:val="20"/>
                <w:szCs w:val="20"/>
              </w:rPr>
              <w:t>赣府发[1995]63号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eastAsia" w:ascii="Times New Roman" w:hAnsi="Times New Roman" w:cs="Times New Roman" w:eastAsiaTheme="majorEastAsia"/>
                <w:b/>
                <w:bCs/>
                <w:color w:val="auto"/>
                <w:sz w:val="20"/>
                <w:szCs w:val="20"/>
                <w:lang w:val="en-US" w:eastAsia="zh-CN"/>
              </w:rPr>
              <w:t>六</w:t>
            </w:r>
            <w:r>
              <w:rPr>
                <w:rFonts w:hint="default" w:ascii="Times New Roman" w:hAnsi="Times New Roman" w:cs="Times New Roman" w:eastAsiaTheme="majorEastAsia"/>
                <w:b/>
                <w:bCs/>
                <w:color w:val="auto"/>
                <w:sz w:val="20"/>
                <w:szCs w:val="20"/>
              </w:rPr>
              <w:t>、土地使用权交易收费*（经营服务类）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1、宜发[2009]3号文规定：工业用地首次出让的交易服务费免收；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2、国企改制，采用授权经营、作价出资（入股）方式处置土地资产免收。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3、赣发改收费字[2009]805号文件规定，涉及办理房屋土地证时不得收取此费。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4、在一次交易过程中，已收取土地使用权拍卖、挂牌、协议出（转）让、租赁服务费，不再收取出（转）让服务费。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（一）协议出（转）让方式交易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1、出让服务（由受让方负责交纳）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2、国有土地使用权租赁（由承租方负责交纳）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900元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3、转让或租赁服务（由交易双方各自负担50%）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270元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4、抵押服务（由抵押方负责交纳）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（二）公开出让方式（由受让方负责承担）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成交额100万以下部分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2.25%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1.35%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成交额1001-3000万元部分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成交额3001-5000万元部分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righ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成交额5001万元-1亿元部分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1亿元以上部分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eastAsia" w:ascii="Times New Roman" w:hAnsi="Times New Roman" w:cs="Times New Roman" w:eastAsiaTheme="majorEastAsia"/>
                <w:b/>
                <w:bCs/>
                <w:color w:val="auto"/>
                <w:sz w:val="20"/>
                <w:szCs w:val="20"/>
                <w:lang w:val="en-US" w:eastAsia="zh-CN"/>
              </w:rPr>
              <w:t>七</w:t>
            </w:r>
            <w:r>
              <w:rPr>
                <w:rFonts w:hint="default" w:ascii="Times New Roman" w:hAnsi="Times New Roman" w:cs="Times New Roman" w:eastAsiaTheme="majorEastAsia"/>
                <w:b/>
                <w:bCs/>
                <w:color w:val="auto"/>
                <w:sz w:val="20"/>
                <w:szCs w:val="20"/>
              </w:rPr>
              <w:t>、矿业产权招标代理交易服务费*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1、矿业权转让交易服务费向交易双方各收取50%，也可经交易双方协商，由一方承担。</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2、经省政府批准的改制、重组、破产的国有企业，其矿业权涉及交易的，按本文规定的收费标准减半收取。</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3、客户需要索取矿权情况资料的，可按复印成本收取资料复制费。</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4、对拍卖、挂牌出（转）让矿业权未能成交的，按约定可向委托人收取一定工作费用，但不得超过本文规定标准的27%。</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5、我省高技术产业和</w:t>
            </w:r>
            <w:r>
              <w:rPr>
                <w:rFonts w:hint="eastAsia" w:ascii="Times New Roman" w:hAnsi="Times New Roman" w:cs="Times New Roman" w:eastAsiaTheme="majorEastAsia"/>
                <w:color w:val="auto"/>
                <w:sz w:val="20"/>
                <w:szCs w:val="20"/>
                <w:lang w:eastAsia="zh-CN"/>
              </w:rPr>
              <w:t>战略性新兴产业</w:t>
            </w:r>
            <w:r>
              <w:rPr>
                <w:rFonts w:hint="default" w:ascii="Times New Roman" w:hAnsi="Times New Roman" w:cs="Times New Roman" w:eastAsiaTheme="majorEastAsia"/>
                <w:color w:val="auto"/>
                <w:sz w:val="20"/>
                <w:szCs w:val="20"/>
              </w:rPr>
              <w:t>，产权交易服务费、土地使用权交易服务费、矿业权交易服务费三项收费标准，在规定的收费标准基础上再降5%。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1、协议出让、拍卖、挂牌（矿业权出让、拍卖、挂牌交易服务费按差额定率累进法计算，最低不少于2700元）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3.60%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3.42%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2.52%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1.62%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ind w:left="71" w:leftChars="34"/>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0.72%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2、转让（矿业权转让交易服务费按差额定率累进法计算，最低不少于2700元）</w:t>
            </w:r>
          </w:p>
        </w:tc>
        <w:tc>
          <w:tcPr>
            <w:tcW w:w="3838" w:type="dxa"/>
            <w:gridSpan w:val="3"/>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1.71%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1.26%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0.81%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wordWrap w:val="0"/>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3、协议出让（低于2700元的按2700元计收）</w:t>
            </w:r>
          </w:p>
        </w:tc>
        <w:tc>
          <w:tcPr>
            <w:tcW w:w="1650"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按成交额的0.9%计收</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4、协议转让</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5、抵押服务（抵押方缴纳）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eastAsia" w:ascii="Times New Roman" w:hAnsi="Times New Roman" w:cs="Times New Roman" w:eastAsiaTheme="majorEastAsia"/>
                <w:b/>
                <w:bCs/>
                <w:color w:val="auto"/>
                <w:sz w:val="20"/>
                <w:szCs w:val="20"/>
                <w:lang w:val="en-US" w:eastAsia="zh-CN"/>
              </w:rPr>
              <w:t>八</w:t>
            </w:r>
            <w:r>
              <w:rPr>
                <w:rFonts w:hint="default" w:ascii="Times New Roman" w:hAnsi="Times New Roman" w:cs="Times New Roman" w:eastAsiaTheme="majorEastAsia"/>
                <w:b/>
                <w:bCs/>
                <w:color w:val="auto"/>
                <w:sz w:val="20"/>
                <w:szCs w:val="20"/>
              </w:rPr>
              <w:t>、产权交易服务收费*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协议交易服务费按差额定率累进法计算，最低不少于900元，可由交易双方共同承担，也可经交易双方协商，由一方承担。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2、竞价交易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竞价交易时，在收取协议交易服务费的基础上，另收竞价交易服务费</w:t>
            </w:r>
          </w:p>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竞价交易服务费按差额定律累进法计算，每宗项目收费最低不少于1800元。可由交易双方共同承担，也可经交易双方协商，由一方承担。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2.475%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1.98%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1.485%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0.99%</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6" w:name="_Toc1645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铜鼓县卫生健康委员会</w:t>
      </w:r>
      <w:bookmarkEnd w:id="6"/>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256"/>
        <w:gridCol w:w="1501"/>
        <w:gridCol w:w="2175"/>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b/>
                <w:bCs/>
                <w:color w:val="auto"/>
                <w:sz w:val="20"/>
                <w:szCs w:val="20"/>
                <w:lang w:val="en-US" w:eastAsia="zh-CN"/>
              </w:rPr>
            </w:pPr>
            <w:r>
              <w:rPr>
                <w:rFonts w:hint="eastAsia" w:asciiTheme="majorEastAsia" w:hAnsiTheme="majorEastAsia" w:eastAsiaTheme="majorEastAsia" w:cstheme="majorEastAsia"/>
                <w:b/>
                <w:bCs/>
                <w:color w:val="auto"/>
                <w:sz w:val="20"/>
                <w:szCs w:val="20"/>
                <w:lang w:val="en-US" w:eastAsia="zh-CN"/>
              </w:rPr>
              <w:t>核酸检测费用（单人单次）</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14</w:t>
            </w:r>
          </w:p>
        </w:tc>
        <w:tc>
          <w:tcPr>
            <w:tcW w:w="2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w:t>
            </w:r>
            <w:r>
              <w:rPr>
                <w:rFonts w:hint="eastAsia" w:asciiTheme="majorEastAsia" w:hAnsiTheme="majorEastAsia" w:eastAsiaTheme="majorEastAsia" w:cstheme="majorEastAsia"/>
                <w:color w:val="auto"/>
                <w:sz w:val="20"/>
                <w:szCs w:val="20"/>
                <w:lang w:val="en-US" w:eastAsia="zh-CN"/>
              </w:rPr>
              <w:t>医保</w:t>
            </w:r>
            <w:r>
              <w:rPr>
                <w:rFonts w:hint="eastAsia" w:asciiTheme="majorEastAsia" w:hAnsiTheme="majorEastAsia" w:eastAsiaTheme="majorEastAsia" w:cstheme="majorEastAsia"/>
                <w:color w:val="auto"/>
                <w:sz w:val="20"/>
                <w:szCs w:val="20"/>
              </w:rPr>
              <w:t>字[</w:t>
            </w:r>
            <w:r>
              <w:rPr>
                <w:rFonts w:hint="eastAsia" w:asciiTheme="majorEastAsia" w:hAnsiTheme="majorEastAsia" w:eastAsiaTheme="majorEastAsia" w:cstheme="majorEastAsia"/>
                <w:color w:val="auto"/>
                <w:sz w:val="20"/>
                <w:szCs w:val="20"/>
                <w:lang w:val="en-US" w:eastAsia="zh-CN"/>
              </w:rPr>
              <w:t>2022</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15</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单人单次核酸检测费用总和不得过18元。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b/>
                <w:bCs/>
                <w:color w:val="auto"/>
                <w:sz w:val="20"/>
                <w:szCs w:val="20"/>
                <w:lang w:val="en-US" w:eastAsia="zh-CN"/>
              </w:rPr>
              <w:t>核酸检测费用（混彩检测）</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元/人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3.5</w:t>
            </w: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不区分样本数量，价格统一调整为每人次3.5元。</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7" w:name="_Toc93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人力资源和社会保障局</w:t>
      </w:r>
      <w:bookmarkEnd w:id="7"/>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3098"/>
        <w:gridCol w:w="1020"/>
        <w:gridCol w:w="982"/>
        <w:gridCol w:w="275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一</w:t>
            </w:r>
            <w:r>
              <w:rPr>
                <w:rFonts w:hint="eastAsia" w:asciiTheme="majorEastAsia" w:hAnsiTheme="majorEastAsia" w:eastAsiaTheme="majorEastAsia" w:cstheme="majorEastAsia"/>
                <w:b/>
                <w:bCs/>
                <w:color w:val="auto"/>
                <w:sz w:val="20"/>
                <w:szCs w:val="20"/>
              </w:rPr>
              <w:t>、职称评审费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赣发改收费字[2004]523号</w:t>
            </w:r>
          </w:p>
        </w:tc>
        <w:tc>
          <w:tcPr>
            <w:tcW w:w="15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7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1、高级</w:t>
            </w: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评审人数在100人以上的评委会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02"/>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评审人数在100人以下的评委会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2、中级</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二</w:t>
            </w:r>
            <w:r>
              <w:rPr>
                <w:rFonts w:hint="eastAsia" w:asciiTheme="majorEastAsia" w:hAnsiTheme="majorEastAsia" w:eastAsiaTheme="majorEastAsia" w:cstheme="majorEastAsia"/>
                <w:b/>
                <w:bCs/>
                <w:color w:val="auto"/>
                <w:sz w:val="20"/>
                <w:szCs w:val="20"/>
              </w:rPr>
              <w:t>、社会保障卡补（换）卡工本费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元/卡</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32</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赣财综字[2012]112号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赣发改收费字[2012]2470号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初次领卡免费；临时卡免费只收押金10元。</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8" w:name="_Toc1643"/>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铜鼓县残疾人联合会</w:t>
      </w:r>
      <w:bookmarkEnd w:id="8"/>
    </w:p>
    <w:tbl>
      <w:tblPr>
        <w:tblStyle w:val="5"/>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19"/>
        <w:gridCol w:w="1281"/>
        <w:gridCol w:w="1342"/>
        <w:gridCol w:w="319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rPr>
              <w:t>残疾人就业保障金*</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按安排残疾人就业差额人数</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上年度本地区职工年人均工资标准</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《残疾人就业条例》财税[2015]72号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财综[2001]16号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财税[2017]18号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财税[2018]39号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应不低于本单位在职工总数1.5%的比例安排残疾人就业</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9" w:name="_Toc2183"/>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w:t>
      </w:r>
      <w:bookmarkEnd w:id="9"/>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1038"/>
        <w:gridCol w:w="1158"/>
        <w:gridCol w:w="2757"/>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计费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单位</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b/>
                <w:bCs/>
                <w:color w:val="auto"/>
                <w:sz w:val="20"/>
                <w:szCs w:val="20"/>
              </w:rPr>
              <w:t>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（一）、公民出入境证件费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普通</w:t>
            </w:r>
            <w:r>
              <w:rPr>
                <w:rFonts w:hint="eastAsia" w:asciiTheme="majorEastAsia" w:hAnsiTheme="majorEastAsia" w:eastAsiaTheme="majorEastAsia" w:cstheme="majorEastAsia"/>
                <w:color w:val="auto"/>
                <w:sz w:val="20"/>
                <w:szCs w:val="20"/>
              </w:rPr>
              <w:t>护照</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914</w:t>
            </w:r>
            <w:r>
              <w:rPr>
                <w:rFonts w:hint="eastAsia" w:asciiTheme="majorEastAsia" w:hAnsiTheme="majorEastAsia" w:eastAsiaTheme="majorEastAsia" w:cstheme="majorEastAsia"/>
                <w:color w:val="auto"/>
                <w:sz w:val="20"/>
                <w:szCs w:val="20"/>
              </w:rPr>
              <w:t>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、护照加注</w:t>
            </w:r>
            <w:r>
              <w:rPr>
                <w:rFonts w:hint="eastAsia" w:asciiTheme="majorEastAsia" w:hAnsiTheme="majorEastAsia" w:eastAsiaTheme="majorEastAsia" w:cstheme="majorEastAsia"/>
                <w:color w:val="auto"/>
                <w:sz w:val="20"/>
                <w:szCs w:val="20"/>
                <w:lang w:eastAsia="zh-CN"/>
              </w:rPr>
              <w:t>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元/项次</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价费字[1993]164号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、往来港澳通行证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eastAsia="zh-CN"/>
              </w:rPr>
              <w:t>赣</w:t>
            </w:r>
            <w:r>
              <w:rPr>
                <w:rFonts w:hint="eastAsia" w:asciiTheme="majorEastAsia" w:hAnsiTheme="majorEastAsia" w:eastAsiaTheme="majorEastAsia" w:cstheme="majorEastAsia"/>
                <w:color w:val="auto"/>
                <w:sz w:val="20"/>
                <w:szCs w:val="20"/>
              </w:rPr>
              <w:t>发改</w:t>
            </w:r>
            <w:r>
              <w:rPr>
                <w:rFonts w:hint="eastAsia" w:asciiTheme="majorEastAsia" w:hAnsiTheme="majorEastAsia" w:eastAsiaTheme="majorEastAsia" w:cstheme="majorEastAsia"/>
                <w:color w:val="auto"/>
                <w:sz w:val="20"/>
                <w:szCs w:val="20"/>
                <w:lang w:eastAsia="zh-CN"/>
              </w:rPr>
              <w:t>收费</w:t>
            </w:r>
            <w:r>
              <w:rPr>
                <w:rFonts w:hint="eastAsia" w:asciiTheme="majorEastAsia" w:hAnsiTheme="majorEastAsia" w:eastAsiaTheme="majorEastAsia" w:cstheme="majorEastAsia"/>
                <w:color w:val="auto"/>
                <w:sz w:val="20"/>
                <w:szCs w:val="20"/>
              </w:rPr>
              <w:t>[201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544</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rPr>
              <w:t>、前往港澳通行证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、内地居民赴港澳签注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二次有效签注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短期（不超过一年）多次有效签注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一年以上（不含一年）两年以下（含两年）多次有效签注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两年以上三年以下（不含三年）多次有效签注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长期（三年以上，含三年）多次有效签注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6</w:t>
            </w:r>
            <w:r>
              <w:rPr>
                <w:rFonts w:hint="eastAsia" w:asciiTheme="majorEastAsia" w:hAnsiTheme="majorEastAsia" w:eastAsiaTheme="majorEastAsia" w:cstheme="majorEastAsia"/>
                <w:color w:val="auto"/>
                <w:sz w:val="20"/>
                <w:szCs w:val="20"/>
              </w:rPr>
              <w:t>、往来台湾通行证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931</w:t>
            </w:r>
            <w:r>
              <w:rPr>
                <w:rFonts w:hint="eastAsia" w:asciiTheme="majorEastAsia" w:hAnsiTheme="majorEastAsia" w:eastAsiaTheme="majorEastAsia" w:cstheme="majorEastAsia"/>
                <w:color w:val="auto"/>
                <w:sz w:val="20"/>
                <w:szCs w:val="20"/>
              </w:rPr>
              <w:t>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7、</w:t>
            </w:r>
            <w:r>
              <w:rPr>
                <w:rFonts w:hint="eastAsia" w:asciiTheme="majorEastAsia" w:hAnsiTheme="majorEastAsia" w:eastAsiaTheme="majorEastAsia" w:cstheme="majorEastAsia"/>
                <w:color w:val="auto"/>
                <w:sz w:val="20"/>
                <w:szCs w:val="20"/>
              </w:rPr>
              <w:t>大陆居民前往台湾签注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8、</w:t>
            </w:r>
            <w:r>
              <w:rPr>
                <w:rFonts w:hint="eastAsia" w:asciiTheme="majorEastAsia" w:hAnsiTheme="majorEastAsia" w:eastAsiaTheme="majorEastAsia" w:cstheme="majorEastAsia"/>
                <w:color w:val="auto"/>
                <w:sz w:val="20"/>
                <w:szCs w:val="20"/>
              </w:rPr>
              <w:t>台湾居民来往大陆通行证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赣发改价格[2017]1186号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出入境通行证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10、港澳居民在内地办理来往内地通行证补发、换发</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元/证</w:t>
            </w:r>
            <w:r>
              <w:rPr>
                <w:rFonts w:hint="eastAsia" w:asciiTheme="majorEastAsia" w:hAnsiTheme="majorEastAsia" w:eastAsiaTheme="majorEastAsia" w:cstheme="majorEastAsia"/>
                <w:color w:val="auto"/>
                <w:sz w:val="20"/>
                <w:szCs w:val="20"/>
                <w:lang w:val="en-US" w:eastAsia="zh-CN"/>
              </w:rPr>
              <w:t xml:space="preserve">  （成人）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350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00" w:hangingChars="100"/>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赣发改价</w:t>
            </w:r>
            <w:r>
              <w:rPr>
                <w:rFonts w:hint="eastAsia" w:asciiTheme="majorEastAsia" w:hAnsiTheme="majorEastAsia" w:eastAsiaTheme="majorEastAsia" w:cstheme="majorEastAsia"/>
                <w:color w:val="auto"/>
                <w:sz w:val="20"/>
                <w:szCs w:val="20"/>
                <w:lang w:val="en-US" w:eastAsia="zh-CN"/>
              </w:rPr>
              <w:t>管</w:t>
            </w:r>
            <w:r>
              <w:rPr>
                <w:rFonts w:hint="eastAsia" w:asciiTheme="majorEastAsia" w:hAnsiTheme="majorEastAsia" w:eastAsiaTheme="majorEastAsia" w:cstheme="majorEastAsia"/>
                <w:color w:val="auto"/>
                <w:sz w:val="20"/>
                <w:szCs w:val="20"/>
              </w:rPr>
              <w:t>[20</w:t>
            </w:r>
            <w:r>
              <w:rPr>
                <w:rFonts w:hint="eastAsia" w:asciiTheme="majorEastAsia" w:hAnsiTheme="majorEastAsia" w:eastAsiaTheme="majorEastAsia" w:cstheme="majorEastAsia"/>
                <w:color w:val="auto"/>
                <w:sz w:val="20"/>
                <w:szCs w:val="20"/>
                <w:lang w:val="en-US" w:eastAsia="zh-CN"/>
              </w:rPr>
              <w:t>20</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935</w:t>
            </w:r>
            <w:r>
              <w:rPr>
                <w:rFonts w:hint="eastAsia" w:asciiTheme="majorEastAsia" w:hAnsiTheme="majorEastAsia" w:eastAsiaTheme="majorEastAsia" w:cstheme="majorEastAsia"/>
                <w:color w:val="auto"/>
                <w:sz w:val="20"/>
                <w:szCs w:val="20"/>
              </w:rPr>
              <w:t>号</w:t>
            </w:r>
            <w:r>
              <w:rPr>
                <w:rFonts w:hint="eastAsia" w:asciiTheme="majorEastAsia" w:hAnsiTheme="majorEastAsia" w:eastAsiaTheme="majorEastAsia" w:cstheme="majorEastAsia"/>
                <w:color w:val="auto"/>
                <w:sz w:val="20"/>
                <w:szCs w:val="20"/>
                <w:lang w:val="en-US" w:eastAsia="zh-CN"/>
              </w:rPr>
              <w:t xml:space="preserve">   宜市发改收费</w:t>
            </w:r>
            <w:r>
              <w:rPr>
                <w:rFonts w:hint="eastAsia" w:asciiTheme="majorEastAsia" w:hAnsiTheme="majorEastAsia" w:eastAsiaTheme="majorEastAsia" w:cstheme="majorEastAsia"/>
                <w:color w:val="auto"/>
                <w:sz w:val="20"/>
                <w:szCs w:val="20"/>
              </w:rPr>
              <w:t>[20</w:t>
            </w:r>
            <w:r>
              <w:rPr>
                <w:rFonts w:hint="eastAsia" w:asciiTheme="majorEastAsia" w:hAnsiTheme="majorEastAsia" w:eastAsiaTheme="majorEastAsia" w:cstheme="majorEastAsia"/>
                <w:color w:val="auto"/>
                <w:sz w:val="20"/>
                <w:szCs w:val="20"/>
                <w:lang w:val="en-US" w:eastAsia="zh-CN"/>
              </w:rPr>
              <w:t>20</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成人证件期有效期10年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元/证</w:t>
            </w:r>
            <w:r>
              <w:rPr>
                <w:rFonts w:hint="eastAsia" w:asciiTheme="majorEastAsia" w:hAnsiTheme="majorEastAsia" w:eastAsiaTheme="majorEastAsia" w:cstheme="majorEastAsia"/>
                <w:color w:val="auto"/>
                <w:sz w:val="20"/>
                <w:szCs w:val="20"/>
                <w:lang w:val="en-US" w:eastAsia="zh-CN"/>
              </w:rPr>
              <w:t xml:space="preserve">  （儿童）</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230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儿童证件期有效期5年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二</w:t>
            </w:r>
            <w:r>
              <w:rPr>
                <w:rFonts w:hint="eastAsia" w:asciiTheme="majorEastAsia" w:hAnsiTheme="majorEastAsia" w:eastAsiaTheme="majorEastAsia" w:cstheme="majorEastAsia"/>
                <w:color w:val="auto"/>
                <w:sz w:val="20"/>
                <w:szCs w:val="20"/>
              </w:rPr>
              <w:t>）、户籍管理证件收费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初办免费，丢失、损坏、失效补办按此标准收费。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财综字[2012]97号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户口簿</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元/本</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赣价费字[2000]46号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准迁证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赣价费字[1992]201号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迁移证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公共户口页</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机关团体查询微机打印人口相片</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元</w:t>
            </w:r>
            <w:r>
              <w:rPr>
                <w:rFonts w:hint="eastAsia" w:asciiTheme="majorEastAsia" w:hAnsiTheme="majorEastAsia" w:eastAsiaTheme="majorEastAsia" w:cstheme="majorEastAsia"/>
                <w:color w:val="auto"/>
                <w:sz w:val="20"/>
                <w:szCs w:val="20"/>
                <w:lang w:val="en-US" w:eastAsia="zh-CN"/>
              </w:rPr>
              <w:t>/每人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4</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赣计收费字[</w:t>
            </w:r>
            <w:r>
              <w:rPr>
                <w:rFonts w:hint="eastAsia" w:asciiTheme="majorEastAsia" w:hAnsiTheme="majorEastAsia" w:eastAsiaTheme="majorEastAsia" w:cstheme="majorEastAsia"/>
                <w:color w:val="auto"/>
                <w:sz w:val="20"/>
                <w:szCs w:val="20"/>
                <w:lang w:val="en-US" w:eastAsia="zh-CN"/>
              </w:rPr>
              <w:t>2003]819号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（三）、首次申领身份证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免费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赣财非税[</w:t>
            </w:r>
            <w:r>
              <w:rPr>
                <w:rFonts w:hint="eastAsia" w:asciiTheme="majorEastAsia" w:hAnsiTheme="majorEastAsia" w:eastAsiaTheme="majorEastAsia" w:cstheme="majorEastAsia"/>
                <w:color w:val="auto"/>
                <w:sz w:val="20"/>
                <w:szCs w:val="20"/>
                <w:lang w:val="en-US" w:eastAsia="zh-CN"/>
              </w:rPr>
              <w:t>2018]4号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四</w:t>
            </w:r>
            <w:r>
              <w:rPr>
                <w:rFonts w:hint="eastAsia" w:asciiTheme="majorEastAsia" w:hAnsiTheme="majorEastAsia" w:eastAsiaTheme="majorEastAsia" w:cstheme="majorEastAsia"/>
                <w:color w:val="auto"/>
                <w:sz w:val="20"/>
                <w:szCs w:val="20"/>
              </w:rPr>
              <w:t>）、第二代临时身份证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赣财综字[200</w:t>
            </w: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22</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五</w:t>
            </w:r>
            <w:r>
              <w:rPr>
                <w:rFonts w:hint="eastAsia" w:asciiTheme="majorEastAsia" w:hAnsiTheme="majorEastAsia" w:eastAsiaTheme="majorEastAsia" w:cstheme="majorEastAsia"/>
                <w:color w:val="auto"/>
                <w:sz w:val="20"/>
                <w:szCs w:val="20"/>
              </w:rPr>
              <w:t>）、丢失、损坏补办二代身份证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六</w:t>
            </w:r>
            <w:r>
              <w:rPr>
                <w:rFonts w:hint="eastAsia" w:asciiTheme="majorEastAsia" w:hAnsiTheme="majorEastAsia" w:eastAsiaTheme="majorEastAsia" w:cstheme="majorEastAsia"/>
                <w:color w:val="auto"/>
                <w:sz w:val="20"/>
                <w:szCs w:val="20"/>
              </w:rPr>
              <w:t>）、到期换领第二代身份证工本费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0" w:name="_Toc202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公安局交</w:t>
      </w:r>
      <w:r>
        <w:rPr>
          <w:rFonts w:hint="eastAsia" w:ascii="Times New Roman" w:hAnsi="Times New Roman" w:cs="宋体"/>
          <w:b/>
          <w:color w:val="auto"/>
          <w:sz w:val="28"/>
          <w:szCs w:val="28"/>
          <w:lang w:eastAsia="zh-CN"/>
        </w:rPr>
        <w:t>通</w:t>
      </w:r>
      <w:r>
        <w:rPr>
          <w:rFonts w:hint="eastAsia" w:ascii="Times New Roman" w:hAnsi="Times New Roman" w:cs="宋体"/>
          <w:b/>
          <w:color w:val="auto"/>
          <w:sz w:val="28"/>
          <w:szCs w:val="28"/>
        </w:rPr>
        <w:t>警</w:t>
      </w:r>
      <w:r>
        <w:rPr>
          <w:rFonts w:hint="eastAsia" w:ascii="Times New Roman" w:hAnsi="Times New Roman" w:cs="宋体"/>
          <w:b/>
          <w:color w:val="auto"/>
          <w:sz w:val="28"/>
          <w:szCs w:val="28"/>
          <w:lang w:eastAsia="zh-CN"/>
        </w:rPr>
        <w:t>察大</w:t>
      </w:r>
      <w:r>
        <w:rPr>
          <w:rFonts w:hint="eastAsia" w:ascii="Times New Roman" w:hAnsi="Times New Roman" w:cs="宋体"/>
          <w:b/>
          <w:color w:val="auto"/>
          <w:sz w:val="28"/>
          <w:szCs w:val="28"/>
        </w:rPr>
        <w:t>队</w:t>
      </w:r>
      <w:bookmarkEnd w:id="1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46"/>
        <w:gridCol w:w="1009"/>
        <w:gridCol w:w="1471"/>
        <w:gridCol w:w="1639"/>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计费单位</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收费标准(元)</w:t>
            </w:r>
          </w:p>
        </w:tc>
        <w:tc>
          <w:tcPr>
            <w:tcW w:w="163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批准机关及文号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cs="Times New Roman"/>
                <w:b/>
                <w:bCs/>
                <w:color w:val="auto"/>
                <w:sz w:val="20"/>
                <w:szCs w:val="20"/>
                <w:lang w:eastAsia="zh-CN"/>
              </w:rPr>
              <w:t>一、</w:t>
            </w:r>
            <w:r>
              <w:rPr>
                <w:rFonts w:hint="default" w:ascii="Times New Roman" w:hAnsi="Times New Roman" w:eastAsia="宋体" w:cs="Times New Roman"/>
                <w:b/>
                <w:bCs/>
                <w:color w:val="auto"/>
                <w:sz w:val="20"/>
                <w:szCs w:val="20"/>
              </w:rPr>
              <w:t>牌证工本费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1.</w:t>
            </w:r>
            <w:r>
              <w:rPr>
                <w:rFonts w:hint="default" w:ascii="Times New Roman" w:hAnsi="Times New Roman" w:eastAsia="宋体" w:cs="Times New Roman"/>
                <w:b w:val="0"/>
                <w:bCs w:val="0"/>
                <w:color w:val="auto"/>
                <w:sz w:val="20"/>
                <w:szCs w:val="20"/>
              </w:rPr>
              <w:t>汽车反光牌照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100</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发改价格[2004]2831号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赣发改收费字[2005]324号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赣发改价格[2017]1186号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发改价格</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[201</w:t>
            </w:r>
            <w:r>
              <w:rPr>
                <w:rFonts w:hint="eastAsia" w:ascii="Times New Roman" w:hAnsi="Times New Roman"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931</w:t>
            </w:r>
            <w:r>
              <w:rPr>
                <w:rFonts w:hint="default" w:ascii="Times New Roman" w:hAnsi="Times New Roman" w:eastAsia="宋体" w:cs="Times New Roman"/>
                <w:b w:val="0"/>
                <w:bCs w:val="0"/>
                <w:color w:val="auto"/>
                <w:sz w:val="20"/>
                <w:szCs w:val="20"/>
              </w:rPr>
              <w:t>号</w:t>
            </w:r>
          </w:p>
        </w:tc>
        <w:tc>
          <w:tcPr>
            <w:tcW w:w="241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1、临时（纸质）行驶号牌每张5元；</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2、号牌架工本费：铁质每只5元、铝合金每只10元，均含号牌专用固封装置及号牌安装费用；</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3、行驶证工本费含照片拍摄费和照片塑封费；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4、补发号牌固封装置每个1元。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汽车不反光牌照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80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挂车反光号牌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50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4.</w:t>
            </w:r>
            <w:r>
              <w:rPr>
                <w:rFonts w:hint="default" w:ascii="Times New Roman" w:hAnsi="Times New Roman" w:eastAsia="宋体" w:cs="Times New Roman"/>
                <w:b w:val="0"/>
                <w:bCs w:val="0"/>
                <w:color w:val="auto"/>
                <w:sz w:val="20"/>
                <w:szCs w:val="20"/>
              </w:rPr>
              <w:t>挂车不反光号牌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5.</w:t>
            </w:r>
            <w:r>
              <w:rPr>
                <w:rFonts w:hint="default" w:ascii="Times New Roman" w:hAnsi="Times New Roman" w:eastAsia="宋体" w:cs="Times New Roman"/>
                <w:b w:val="0"/>
                <w:bCs w:val="0"/>
                <w:color w:val="auto"/>
                <w:sz w:val="20"/>
                <w:szCs w:val="20"/>
              </w:rPr>
              <w:t>摩托车号牌（反光）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35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6.三轮汽车、低速货车号牌（反光）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7.</w:t>
            </w:r>
            <w:r>
              <w:rPr>
                <w:rFonts w:hint="default" w:ascii="Times New Roman" w:hAnsi="Times New Roman" w:eastAsia="宋体" w:cs="Times New Roman"/>
                <w:b w:val="0"/>
                <w:bCs w:val="0"/>
                <w:color w:val="auto"/>
                <w:sz w:val="20"/>
                <w:szCs w:val="20"/>
              </w:rPr>
              <w:t>三轮汽车、低速货车号牌（</w:t>
            </w:r>
            <w:r>
              <w:rPr>
                <w:rFonts w:hint="default" w:ascii="Times New Roman" w:hAnsi="Times New Roman" w:eastAsia="宋体" w:cs="Times New Roman"/>
                <w:b w:val="0"/>
                <w:bCs w:val="0"/>
                <w:color w:val="auto"/>
                <w:sz w:val="20"/>
                <w:szCs w:val="20"/>
                <w:lang w:eastAsia="zh-CN"/>
              </w:rPr>
              <w:t>不</w:t>
            </w:r>
            <w:r>
              <w:rPr>
                <w:rFonts w:hint="default" w:ascii="Times New Roman" w:hAnsi="Times New Roman" w:eastAsia="宋体" w:cs="Times New Roman"/>
                <w:b w:val="0"/>
                <w:bCs w:val="0"/>
                <w:color w:val="auto"/>
                <w:sz w:val="20"/>
                <w:szCs w:val="20"/>
              </w:rPr>
              <w:t>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25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8</w:t>
            </w:r>
            <w:r>
              <w:rPr>
                <w:rFonts w:hint="default" w:ascii="Times New Roman" w:hAnsi="Times New Roman" w:eastAsia="宋体" w:cs="Times New Roman"/>
                <w:b w:val="0"/>
                <w:bCs w:val="0"/>
                <w:color w:val="auto"/>
                <w:sz w:val="20"/>
                <w:szCs w:val="20"/>
              </w:rPr>
              <w:t>.机动车行驶证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.机动车登记证、驾驶证、临时行驶证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元/证</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bCs/>
                <w:color w:val="auto"/>
                <w:sz w:val="20"/>
                <w:szCs w:val="20"/>
              </w:rPr>
              <w:t>二、非机动车登记收费（电动车）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赣发改收费字[2010]597号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元/块</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12</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非机动车临时通行登记证工本费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三、机动车驾驶员考试</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理论（科目一）</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42</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赣发改收费字[2013]321号</w:t>
            </w:r>
            <w:r>
              <w:rPr>
                <w:rFonts w:hint="eastAsia" w:ascii="Times New Roman" w:hAnsi="Times New Roman" w:cs="Times New Roman"/>
                <w:b w:val="0"/>
                <w:bCs w:val="0"/>
                <w:color w:val="auto"/>
                <w:sz w:val="20"/>
                <w:szCs w:val="20"/>
                <w:lang w:val="en-US" w:eastAsia="zh-CN"/>
              </w:rPr>
              <w:t xml:space="preserve">    赣发改价管</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[2022]351号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驾驶员场地考试费（科目二）：汽车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209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174</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r>
              <w:rPr>
                <w:rFonts w:hint="eastAsia" w:ascii="Times New Roman" w:hAnsi="Times New Roman" w:cs="Times New Roman"/>
                <w:b w:val="0"/>
                <w:bCs w:val="0"/>
                <w:color w:val="auto"/>
                <w:sz w:val="20"/>
                <w:szCs w:val="20"/>
                <w:lang w:eastAsia="zh-CN"/>
              </w:rPr>
              <w:t>、</w:t>
            </w:r>
            <w:r>
              <w:rPr>
                <w:rFonts w:hint="eastAsia" w:ascii="Times New Roman" w:hAnsi="Times New Roman" w:cs="Times New Roman"/>
                <w:b w:val="0"/>
                <w:bCs w:val="0"/>
                <w:color w:val="auto"/>
                <w:sz w:val="20"/>
                <w:szCs w:val="20"/>
                <w:highlight w:val="none"/>
                <w:lang w:val="en-US" w:eastAsia="zh-CN"/>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道路驾驶考试费（科目三）：汽车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279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244</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r>
              <w:rPr>
                <w:rFonts w:hint="eastAsia" w:ascii="Times New Roman" w:hAnsi="Times New Roman" w:cs="Times New Roman"/>
                <w:b w:val="0"/>
                <w:bCs w:val="0"/>
                <w:color w:val="auto"/>
                <w:sz w:val="20"/>
                <w:szCs w:val="20"/>
                <w:lang w:eastAsia="zh-CN"/>
              </w:rPr>
              <w:t>、</w:t>
            </w:r>
            <w:r>
              <w:rPr>
                <w:rFonts w:hint="eastAsia" w:ascii="Times New Roman" w:hAnsi="Times New Roman" w:cs="Times New Roman"/>
                <w:b w:val="0"/>
                <w:bCs w:val="0"/>
                <w:color w:val="auto"/>
                <w:sz w:val="20"/>
                <w:szCs w:val="20"/>
                <w:highlight w:val="none"/>
                <w:lang w:val="en-US" w:eastAsia="zh-CN"/>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139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02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pacing w:val="-11"/>
                <w:sz w:val="20"/>
                <w:szCs w:val="20"/>
              </w:rPr>
            </w:pPr>
            <w:r>
              <w:rPr>
                <w:rFonts w:hint="eastAsia" w:ascii="Times New Roman" w:hAnsi="Times New Roman" w:cs="Times New Roman"/>
                <w:b w:val="0"/>
                <w:bCs w:val="0"/>
                <w:color w:val="auto"/>
                <w:spacing w:val="-11"/>
                <w:sz w:val="20"/>
                <w:szCs w:val="20"/>
                <w:lang w:val="en-US" w:eastAsia="zh-CN"/>
              </w:rPr>
              <w:t>4.</w:t>
            </w:r>
            <w:r>
              <w:rPr>
                <w:rFonts w:hint="default" w:ascii="Times New Roman" w:hAnsi="Times New Roman" w:eastAsia="宋体" w:cs="Times New Roman"/>
                <w:b w:val="0"/>
                <w:bCs w:val="0"/>
                <w:color w:val="auto"/>
                <w:spacing w:val="-11"/>
                <w:sz w:val="20"/>
                <w:szCs w:val="20"/>
              </w:rPr>
              <w:t>增驾考试按所增驾的车型规定的考试科目收取考试费，可以免费补考一次。</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1" w:name="_Toc252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铜鼓县人民</w:t>
      </w:r>
      <w:r>
        <w:rPr>
          <w:rFonts w:hint="eastAsia" w:ascii="Times New Roman" w:hAnsi="Times New Roman" w:cs="宋体"/>
          <w:b/>
          <w:color w:val="auto"/>
          <w:sz w:val="28"/>
          <w:szCs w:val="28"/>
        </w:rPr>
        <w:t>法院</w:t>
      </w:r>
      <w:bookmarkEnd w:id="11"/>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78"/>
        <w:gridCol w:w="1009"/>
        <w:gridCol w:w="1350"/>
        <w:gridCol w:w="1514"/>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计费单位</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收费标准(元)</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批准机关及文号</w:t>
            </w:r>
          </w:p>
        </w:tc>
        <w:tc>
          <w:tcPr>
            <w:tcW w:w="3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sz w:val="20"/>
                <w:szCs w:val="20"/>
              </w:rPr>
              <w:t>诉讼费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15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pacing w:val="-4"/>
                <w:sz w:val="20"/>
                <w:szCs w:val="20"/>
              </w:rPr>
            </w:pPr>
            <w:r>
              <w:rPr>
                <w:rFonts w:hint="default" w:ascii="Times New Roman" w:hAnsi="Times New Roman" w:eastAsia="宋体" w:cs="Times New Roman"/>
                <w:color w:val="auto"/>
                <w:spacing w:val="-4"/>
                <w:sz w:val="20"/>
                <w:szCs w:val="20"/>
              </w:rPr>
              <w:t>财行[2003]275号国务院2006年481号令</w:t>
            </w:r>
          </w:p>
        </w:tc>
        <w:tc>
          <w:tcPr>
            <w:tcW w:w="34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1、离婚案件财产总额超过20万元的部分收0.5%</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案件赔偿额超过5-10万的部分收1%，超过10万元的部分收0.5%，赔额低于5万元的免收</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3、申请撤消仲裁裁决或认定仲裁协议效力每件400元。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4、管辖权异议案异议不成立的，每件收50~100元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5、知识产权民事案有争议金额或价额的按财产案件收费。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6、申请支付令比照财产案件的三分之一执行。</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7、申请执行案件无执行金额或价额的收50-500元；有执行金额或价额的按如下执行：1万元收50元；1-50万1.5%+100；50-500万1%+2400；500-1000万0.5%+27400；1000万元以上0.1%+67400。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rPr>
              <w:t>8、申请财产保全案件100元以下0+30元；100元-10万元1%+20元；10万以上0.5%+520元</w:t>
            </w:r>
            <w:r>
              <w:rPr>
                <w:rFonts w:hint="default" w:ascii="Times New Roman" w:hAnsi="Times New Roman" w:eastAsia="宋体" w:cs="Times New Roman"/>
                <w:color w:val="auto"/>
                <w:sz w:val="20"/>
                <w:szCs w:val="20"/>
                <w:lang w:eastAsia="zh-CN"/>
              </w:rPr>
              <w:t>；最高不超过</w:t>
            </w:r>
            <w:r>
              <w:rPr>
                <w:rFonts w:hint="default" w:ascii="Times New Roman" w:hAnsi="Times New Roman" w:eastAsia="宋体" w:cs="Times New Roman"/>
                <w:color w:val="auto"/>
                <w:sz w:val="20"/>
                <w:szCs w:val="20"/>
                <w:lang w:val="en-US" w:eastAsia="zh-CN"/>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100-500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3、财产案件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一万元以下</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2.5%</w:t>
            </w:r>
            <w:r>
              <w:rPr>
                <w:rFonts w:hint="default" w:ascii="Times New Roman" w:hAnsi="Times New Roman" w:eastAsia="宋体" w:cs="Times New Roman"/>
                <w:color w:val="auto"/>
                <w:sz w:val="20"/>
                <w:szCs w:val="20"/>
                <w:lang w:val="en-US" w:eastAsia="zh-CN"/>
              </w:rPr>
              <w:t>-</w:t>
            </w:r>
            <w:r>
              <w:rPr>
                <w:rFonts w:hint="default" w:ascii="Times New Roman" w:hAnsi="Times New Roman" w:eastAsia="宋体" w:cs="Times New Roman"/>
                <w:color w:val="auto"/>
                <w:sz w:val="20"/>
                <w:szCs w:val="20"/>
              </w:rPr>
              <w:t>200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10~20万元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20~50万元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1.5%+1300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1%+3800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100~200万元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0.9%+4800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200~500万元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0.8%+6800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0.7%+11800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1000~2000万元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0.6%+21800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2000万元以上</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0.5%+41800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4、其它非财产案</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5、商标专利海事行政案件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6、其它行政案件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7、劳动争议案件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8、知识产权民事案</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9、申请公示催告</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10、申请财产保全</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11、申请执行案件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bookmarkStart w:id="12" w:name="_Toc329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lang w:val="en-US" w:eastAsia="zh-CN"/>
        </w:rPr>
        <w:t>应急管理局</w:t>
      </w:r>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471"/>
        <w:gridCol w:w="1601"/>
        <w:gridCol w:w="240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组织特种作业安全技术实践操作考试费</w:t>
            </w:r>
          </w:p>
        </w:tc>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核定为各工种每人100元，考试不及格者免费补考一次。</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宜市发改收费</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2022</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试行两年，试行期满前6个月按规定程序重新报批。</w:t>
            </w: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宜春广播电视大学铜鼓分校</w:t>
      </w:r>
      <w:bookmarkEnd w:id="12"/>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720"/>
        <w:gridCol w:w="2273"/>
        <w:gridCol w:w="1314"/>
        <w:gridCol w:w="896"/>
        <w:gridCol w:w="270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一、开放教育学费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本科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赣财计字[2000]274号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专科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55</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赣计收费字[2002]694号</w:t>
            </w: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、注册建档费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180</w:t>
            </w:r>
          </w:p>
        </w:tc>
        <w:tc>
          <w:tcPr>
            <w:tcW w:w="2709" w:type="dxa"/>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rPr>
              <w:t>赣教计字[2000]</w:t>
            </w:r>
            <w:r>
              <w:rPr>
                <w:rFonts w:hint="eastAsia" w:ascii="宋体" w:hAnsi="宋体" w:eastAsia="宋体" w:cs="宋体"/>
                <w:color w:val="auto"/>
                <w:sz w:val="20"/>
                <w:szCs w:val="20"/>
                <w:lang w:val="en-US" w:eastAsia="zh-CN"/>
              </w:rPr>
              <w:t>274</w:t>
            </w:r>
            <w:r>
              <w:rPr>
                <w:rFonts w:hint="eastAsia" w:ascii="宋体" w:hAnsi="宋体" w:eastAsia="宋体" w:cs="宋体"/>
                <w:color w:val="auto"/>
                <w:sz w:val="20"/>
                <w:szCs w:val="20"/>
              </w:rPr>
              <w:t>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赣计收费[2002]694号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50"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三、教师继续教育培训费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培训费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/生.课时</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27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赣发改收费字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2005</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1594号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05"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《继续教育证书</w:t>
            </w:r>
            <w:r>
              <w:rPr>
                <w:rFonts w:hint="eastAsia" w:ascii="宋体" w:hAnsi="宋体" w:cs="宋体"/>
                <w:color w:val="auto"/>
                <w:sz w:val="20"/>
                <w:szCs w:val="20"/>
                <w:lang w:eastAsia="zh-CN"/>
              </w:rPr>
              <w:t>》</w:t>
            </w:r>
            <w:r>
              <w:rPr>
                <w:rFonts w:hint="eastAsia" w:ascii="宋体" w:hAnsi="宋体" w:eastAsia="宋体" w:cs="宋体"/>
                <w:color w:val="auto"/>
                <w:sz w:val="20"/>
                <w:szCs w:val="20"/>
                <w:lang w:eastAsia="zh-CN"/>
              </w:rPr>
              <w:t>工本费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本</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2709" w:type="dxa"/>
            <w:vMerge w:val="continue"/>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outlineLvl w:val="0"/>
        <w:rPr>
          <w:rFonts w:hint="eastAsia" w:ascii="Times New Roman" w:hAnsi="Times New Roman" w:cs="宋体"/>
          <w:b/>
          <w:color w:val="auto"/>
          <w:sz w:val="28"/>
          <w:szCs w:val="28"/>
        </w:rPr>
      </w:pPr>
      <w:bookmarkStart w:id="13" w:name="_Toc3630"/>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w:t>
      </w:r>
      <w:r>
        <w:rPr>
          <w:rFonts w:hint="eastAsia" w:ascii="Times New Roman" w:hAnsi="Times New Roman" w:cs="宋体"/>
          <w:b/>
          <w:color w:val="auto"/>
          <w:sz w:val="28"/>
          <w:szCs w:val="28"/>
        </w:rPr>
        <w:t>中学</w:t>
      </w:r>
      <w:bookmarkEnd w:id="13"/>
    </w:p>
    <w:tbl>
      <w:tblPr>
        <w:tblStyle w:val="5"/>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4599"/>
        <w:gridCol w:w="1067"/>
        <w:gridCol w:w="1400"/>
        <w:gridCol w:w="2405"/>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24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50"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省重点高中（特色高中比照省重点高中标准执行）</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24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6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30"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eastAsia="zh-CN"/>
              </w:rPr>
              <w:t>学生公寓</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80</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4" w:name="_Toc1677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铜鼓中等专业学校</w:t>
      </w:r>
      <w:bookmarkEnd w:id="14"/>
    </w:p>
    <w:tbl>
      <w:tblPr>
        <w:tblStyle w:val="5"/>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3207"/>
        <w:gridCol w:w="1229"/>
        <w:gridCol w:w="950"/>
        <w:gridCol w:w="424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7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424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比照省重点高中标准执行</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424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70"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val="en-US" w:eastAsia="zh-CN"/>
              </w:rPr>
              <w:t xml:space="preserve"> </w:t>
            </w:r>
            <w:r>
              <w:rPr>
                <w:rFonts w:hint="eastAsia" w:ascii="宋体" w:hAnsi="宋体" w:eastAsia="宋体" w:cs="宋体"/>
                <w:color w:val="auto"/>
                <w:sz w:val="20"/>
                <w:szCs w:val="20"/>
                <w:lang w:val="en-US" w:eastAsia="zh-CN"/>
              </w:rPr>
              <w:t xml:space="preserve">     </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r>
              <w:rPr>
                <w:rFonts w:hint="eastAsia" w:ascii="宋体" w:hAnsi="宋体" w:cs="宋体"/>
                <w:color w:val="auto"/>
                <w:sz w:val="20"/>
                <w:szCs w:val="20"/>
                <w:lang w:val="en-US" w:eastAsia="zh-CN"/>
              </w:rPr>
              <w:t xml:space="preserve">  </w:t>
            </w: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5" w:name="_Toc1596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lang w:val="en-US" w:eastAsia="zh-CN"/>
        </w:rPr>
        <w:t>公办</w:t>
      </w:r>
      <w:r>
        <w:rPr>
          <w:rFonts w:hint="eastAsia" w:ascii="Times New Roman" w:hAnsi="Times New Roman" w:cs="宋体"/>
          <w:b/>
          <w:color w:val="auto"/>
          <w:sz w:val="28"/>
          <w:szCs w:val="28"/>
        </w:rPr>
        <w:t>幼儿园</w:t>
      </w:r>
      <w:bookmarkEnd w:id="15"/>
    </w:p>
    <w:tbl>
      <w:tblPr>
        <w:tblStyle w:val="5"/>
        <w:tblW w:w="10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1301"/>
        <w:gridCol w:w="1172"/>
        <w:gridCol w:w="4439"/>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44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val="en-US" w:eastAsia="zh-CN"/>
              </w:rPr>
              <w:t>城区公办幼儿园保育教育费</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lang w:eastAsia="zh-CN"/>
              </w:rPr>
            </w:pPr>
            <w:r>
              <w:rPr>
                <w:rFonts w:hint="eastAsia" w:ascii="宋体" w:hAnsi="宋体" w:cs="宋体"/>
                <w:b w:val="0"/>
                <w:bCs w:val="0"/>
                <w:color w:val="auto"/>
                <w:spacing w:val="-12"/>
                <w:sz w:val="20"/>
                <w:szCs w:val="20"/>
                <w:lang w:val="en-US" w:eastAsia="zh-CN"/>
              </w:rPr>
              <w:t xml:space="preserve">省级示范幼儿园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400</w:t>
            </w:r>
          </w:p>
        </w:tc>
        <w:tc>
          <w:tcPr>
            <w:tcW w:w="44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eastAsia="zh-CN"/>
              </w:rPr>
              <w:t>赣发改收费字</w:t>
            </w:r>
            <w:r>
              <w:rPr>
                <w:rFonts w:hint="eastAsia" w:ascii="宋体" w:hAnsi="宋体" w:eastAsia="宋体" w:cs="宋体"/>
                <w:b w:val="0"/>
                <w:bCs w:val="0"/>
                <w:color w:val="auto"/>
                <w:sz w:val="20"/>
                <w:szCs w:val="20"/>
              </w:rPr>
              <w:t>[2013]</w:t>
            </w:r>
            <w:r>
              <w:rPr>
                <w:rFonts w:hint="eastAsia" w:ascii="宋体" w:hAnsi="宋体" w:eastAsia="宋体" w:cs="宋体"/>
                <w:b w:val="0"/>
                <w:bCs w:val="0"/>
                <w:color w:val="auto"/>
                <w:sz w:val="20"/>
                <w:szCs w:val="20"/>
                <w:lang w:val="en-US" w:eastAsia="zh-CN"/>
              </w:rPr>
              <w:t>705</w:t>
            </w:r>
            <w:r>
              <w:rPr>
                <w:rFonts w:hint="eastAsia" w:ascii="宋体" w:hAnsi="宋体" w:eastAsia="宋体" w:cs="宋体"/>
                <w:b w:val="0"/>
                <w:bCs w:val="0"/>
                <w:color w:val="auto"/>
                <w:sz w:val="20"/>
                <w:szCs w:val="20"/>
              </w:rPr>
              <w:t>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赣教发</w:t>
            </w:r>
            <w:r>
              <w:rPr>
                <w:rFonts w:hint="eastAsia" w:ascii="宋体" w:hAnsi="宋体" w:eastAsia="宋体" w:cs="宋体"/>
                <w:b w:val="0"/>
                <w:bCs w:val="0"/>
                <w:color w:val="auto"/>
                <w:sz w:val="20"/>
                <w:szCs w:val="20"/>
              </w:rPr>
              <w:t>[201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eastAsia="宋体" w:cs="宋体"/>
                <w:b w:val="0"/>
                <w:bCs w:val="0"/>
                <w:color w:val="auto"/>
                <w:sz w:val="20"/>
                <w:szCs w:val="20"/>
                <w:lang w:val="en-US" w:eastAsia="zh-CN"/>
              </w:rPr>
              <w:t>12</w:t>
            </w:r>
            <w:r>
              <w:rPr>
                <w:rFonts w:hint="eastAsia" w:ascii="宋体" w:hAnsi="宋体" w:eastAsia="宋体" w:cs="宋体"/>
                <w:b w:val="0"/>
                <w:bCs w:val="0"/>
                <w:color w:val="auto"/>
                <w:sz w:val="20"/>
                <w:szCs w:val="20"/>
              </w:rPr>
              <w:t>号</w:t>
            </w:r>
            <w:r>
              <w:rPr>
                <w:rFonts w:hint="eastAsia" w:ascii="宋体" w:hAnsi="宋体" w:cs="宋体"/>
                <w:b w:val="0"/>
                <w:bCs w:val="0"/>
                <w:color w:val="auto"/>
                <w:sz w:val="20"/>
                <w:szCs w:val="20"/>
                <w:lang w:val="en-US" w:eastAsia="zh-CN"/>
              </w:rPr>
              <w:t xml:space="preserve">   </w:t>
            </w:r>
            <w:r>
              <w:rPr>
                <w:rFonts w:hint="eastAsia" w:ascii="宋体" w:hAnsi="宋体" w:eastAsia="宋体" w:cs="宋体"/>
                <w:b w:val="0"/>
                <w:bCs w:val="0"/>
                <w:color w:val="000000" w:themeColor="text1"/>
                <w:sz w:val="20"/>
                <w:szCs w:val="20"/>
                <w14:textFill>
                  <w14:solidFill>
                    <w14:schemeClr w14:val="tx1"/>
                  </w14:solidFill>
                </w14:textFill>
              </w:rPr>
              <w:t>铜</w:t>
            </w:r>
            <w:r>
              <w:rPr>
                <w:rFonts w:hint="eastAsia" w:ascii="宋体" w:hAnsi="宋体" w:cs="宋体"/>
                <w:b w:val="0"/>
                <w:bCs w:val="0"/>
                <w:color w:val="000000" w:themeColor="text1"/>
                <w:sz w:val="20"/>
                <w:szCs w:val="20"/>
                <w:lang w:eastAsia="zh-CN"/>
                <w14:textFill>
                  <w14:solidFill>
                    <w14:schemeClr w14:val="tx1"/>
                  </w14:solidFill>
                </w14:textFill>
              </w:rPr>
              <w:t>发改收费字</w:t>
            </w:r>
            <w:r>
              <w:rPr>
                <w:rFonts w:hint="eastAsia" w:ascii="宋体" w:hAnsi="宋体" w:eastAsia="宋体" w:cs="宋体"/>
                <w:b w:val="0"/>
                <w:bCs w:val="0"/>
                <w:color w:val="000000" w:themeColor="text1"/>
                <w:sz w:val="20"/>
                <w:szCs w:val="20"/>
                <w14:textFill>
                  <w14:solidFill>
                    <w14:schemeClr w14:val="tx1"/>
                  </w14:solidFill>
                </w14:textFill>
              </w:rPr>
              <w:t>[20</w:t>
            </w:r>
            <w:r>
              <w:rPr>
                <w:rFonts w:hint="eastAsia" w:ascii="宋体" w:hAnsi="宋体" w:cs="宋体"/>
                <w:b w:val="0"/>
                <w:bCs w:val="0"/>
                <w:color w:val="000000" w:themeColor="text1"/>
                <w:sz w:val="20"/>
                <w:szCs w:val="20"/>
                <w:lang w:val="en-US" w:eastAsia="zh-CN"/>
                <w14:textFill>
                  <w14:solidFill>
                    <w14:schemeClr w14:val="tx1"/>
                  </w14:solidFill>
                </w14:textFill>
              </w:rPr>
              <w:t>22</w:t>
            </w:r>
            <w:r>
              <w:rPr>
                <w:rFonts w:hint="eastAsia" w:ascii="宋体" w:hAnsi="宋体" w:eastAsia="宋体" w:cs="宋体"/>
                <w:b w:val="0"/>
                <w:bCs w:val="0"/>
                <w:color w:val="000000" w:themeColor="text1"/>
                <w:sz w:val="20"/>
                <w:szCs w:val="20"/>
                <w14:textFill>
                  <w14:solidFill>
                    <w14:schemeClr w14:val="tx1"/>
                  </w14:solidFill>
                </w14:textFill>
              </w:rPr>
              <w:t>]</w:t>
            </w:r>
            <w:r>
              <w:rPr>
                <w:rFonts w:hint="eastAsia" w:ascii="宋体" w:hAnsi="宋体" w:cs="宋体"/>
                <w:b w:val="0"/>
                <w:bCs w:val="0"/>
                <w:color w:val="000000" w:themeColor="text1"/>
                <w:sz w:val="20"/>
                <w:szCs w:val="20"/>
                <w:lang w:val="en-US" w:eastAsia="zh-CN"/>
                <w14:textFill>
                  <w14:solidFill>
                    <w14:schemeClr w14:val="tx1"/>
                  </w14:solidFill>
                </w14:textFill>
              </w:rPr>
              <w:t>1</w:t>
            </w:r>
            <w:r>
              <w:rPr>
                <w:rFonts w:hint="eastAsia" w:ascii="宋体" w:hAnsi="宋体" w:eastAsia="宋体" w:cs="宋体"/>
                <w:b w:val="0"/>
                <w:bCs w:val="0"/>
                <w:color w:val="000000" w:themeColor="text1"/>
                <w:sz w:val="20"/>
                <w:szCs w:val="20"/>
                <w14:textFill>
                  <w14:solidFill>
                    <w14:schemeClr w14:val="tx1"/>
                  </w14:solidFill>
                </w14:textFill>
              </w:rPr>
              <w:t>号</w:t>
            </w:r>
            <w:r>
              <w:rPr>
                <w:rFonts w:hint="eastAsia" w:ascii="宋体" w:hAnsi="宋体" w:cs="宋体"/>
                <w:b w:val="0"/>
                <w:bCs w:val="0"/>
                <w:color w:val="000000" w:themeColor="text1"/>
                <w:sz w:val="20"/>
                <w:szCs w:val="20"/>
                <w:lang w:val="en-US" w:eastAsia="zh-CN"/>
                <w14:textFill>
                  <w14:solidFill>
                    <w14:schemeClr w14:val="tx1"/>
                  </w14:solidFill>
                </w14:textFill>
              </w:rPr>
              <w:t xml:space="preserve"> </w:t>
            </w:r>
            <w:r>
              <w:rPr>
                <w:rFonts w:hint="eastAsia" w:ascii="宋体" w:hAnsi="宋体" w:cs="宋体"/>
                <w:b w:val="0"/>
                <w:bCs w:val="0"/>
                <w:color w:val="FF0000"/>
                <w:sz w:val="20"/>
                <w:szCs w:val="20"/>
                <w:lang w:val="en-US" w:eastAsia="zh-CN"/>
              </w:rPr>
              <w:t xml:space="preserve">    </w:t>
            </w:r>
            <w:r>
              <w:rPr>
                <w:rFonts w:hint="eastAsia" w:ascii="宋体" w:hAnsi="宋体" w:eastAsia="宋体" w:cs="宋体"/>
                <w:b w:val="0"/>
                <w:bCs w:val="0"/>
                <w:color w:val="auto"/>
                <w:sz w:val="20"/>
                <w:szCs w:val="20"/>
                <w:lang w:eastAsia="zh-CN"/>
              </w:rPr>
              <w:t>赣发改</w:t>
            </w:r>
            <w:r>
              <w:rPr>
                <w:rFonts w:hint="eastAsia" w:ascii="宋体" w:hAnsi="宋体" w:cs="宋体"/>
                <w:b w:val="0"/>
                <w:bCs w:val="0"/>
                <w:color w:val="auto"/>
                <w:sz w:val="20"/>
                <w:szCs w:val="20"/>
                <w:lang w:val="en-US" w:eastAsia="zh-CN"/>
              </w:rPr>
              <w:t>价调</w:t>
            </w:r>
            <w:r>
              <w:rPr>
                <w:rFonts w:hint="eastAsia" w:ascii="宋体" w:hAnsi="宋体" w:eastAsia="宋体" w:cs="宋体"/>
                <w:b w:val="0"/>
                <w:bCs w:val="0"/>
                <w:color w:val="auto"/>
                <w:sz w:val="20"/>
                <w:szCs w:val="20"/>
              </w:rPr>
              <w:t>[201</w:t>
            </w:r>
            <w:r>
              <w:rPr>
                <w:rFonts w:hint="eastAsia" w:ascii="宋体" w:hAnsi="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cs="宋体"/>
                <w:b w:val="0"/>
                <w:bCs w:val="0"/>
                <w:color w:val="auto"/>
                <w:sz w:val="20"/>
                <w:szCs w:val="20"/>
                <w:lang w:val="en-US" w:eastAsia="zh-CN"/>
              </w:rPr>
              <w:t>310</w:t>
            </w:r>
            <w:r>
              <w:rPr>
                <w:rFonts w:hint="eastAsia" w:ascii="宋体" w:hAnsi="宋体" w:eastAsia="宋体" w:cs="宋体"/>
                <w:b w:val="0"/>
                <w:bCs w:val="0"/>
                <w:color w:val="auto"/>
                <w:sz w:val="20"/>
                <w:szCs w:val="20"/>
              </w:rPr>
              <w:t>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市级示范幼儿园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300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普通幼儿园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250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cs="宋体"/>
                <w:b/>
                <w:bCs/>
                <w:color w:val="auto"/>
                <w:sz w:val="20"/>
                <w:szCs w:val="20"/>
                <w:lang w:val="en-US" w:eastAsia="zh-CN"/>
              </w:rPr>
              <w:t>二</w:t>
            </w:r>
            <w:r>
              <w:rPr>
                <w:rFonts w:hint="eastAsia" w:ascii="宋体" w:hAnsi="宋体" w:eastAsia="宋体" w:cs="宋体"/>
                <w:b/>
                <w:bCs/>
                <w:color w:val="auto"/>
                <w:sz w:val="20"/>
                <w:szCs w:val="20"/>
                <w:lang w:eastAsia="zh-CN"/>
              </w:rPr>
              <w:t>、</w:t>
            </w:r>
            <w:r>
              <w:rPr>
                <w:rFonts w:hint="eastAsia" w:ascii="宋体" w:hAnsi="宋体" w:cs="宋体"/>
                <w:b/>
                <w:bCs/>
                <w:color w:val="auto"/>
                <w:sz w:val="20"/>
                <w:szCs w:val="20"/>
                <w:lang w:val="en-US" w:eastAsia="zh-CN"/>
              </w:rPr>
              <w:t>乡镇农村公办幼儿园保育教育</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乡镇中心幼儿园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250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乡镇以下幼儿园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200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0"/>
        <w:rPr>
          <w:rFonts w:hint="eastAsia" w:ascii="Times New Roman" w:hAnsi="Times New Roman" w:cs="宋体"/>
          <w:b/>
          <w:color w:val="auto"/>
          <w:sz w:val="28"/>
          <w:szCs w:val="28"/>
          <w:lang w:val="en-US" w:eastAsia="zh-CN"/>
        </w:rPr>
      </w:pPr>
      <w:bookmarkStart w:id="16" w:name="_Toc338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铜鼓县义务教育阶段中小学校</w:t>
      </w:r>
    </w:p>
    <w:tbl>
      <w:tblPr>
        <w:tblStyle w:val="5"/>
        <w:tblW w:w="10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3291"/>
        <w:gridCol w:w="1229"/>
        <w:gridCol w:w="1078"/>
        <w:gridCol w:w="4113"/>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11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一、</w:t>
            </w:r>
            <w:r>
              <w:rPr>
                <w:rFonts w:hint="eastAsia" w:ascii="宋体" w:hAnsi="宋体" w:cs="宋体"/>
                <w:b/>
                <w:bCs/>
                <w:color w:val="auto"/>
                <w:sz w:val="20"/>
                <w:szCs w:val="20"/>
                <w:lang w:eastAsia="zh-CN"/>
              </w:rPr>
              <w:t>服务对象</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411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cs="宋体"/>
                <w:color w:val="auto"/>
                <w:sz w:val="20"/>
                <w:szCs w:val="20"/>
                <w:lang w:eastAsia="zh-CN"/>
              </w:rPr>
              <w:t>铜发改收费字</w:t>
            </w:r>
            <w:r>
              <w:rPr>
                <w:rFonts w:hint="eastAsia" w:ascii="宋体" w:hAnsi="宋体" w:cs="宋体"/>
                <w:color w:val="auto"/>
                <w:sz w:val="20"/>
                <w:szCs w:val="20"/>
                <w:lang w:val="en-US" w:eastAsia="zh-CN"/>
              </w:rPr>
              <w:t>[2022]4号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cs="宋体"/>
                <w:color w:val="auto"/>
                <w:sz w:val="20"/>
                <w:szCs w:val="20"/>
                <w:lang w:eastAsia="zh-CN"/>
              </w:rPr>
              <w:t>铜鼓县在读中小学生</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color w:val="auto"/>
                <w:sz w:val="20"/>
                <w:szCs w:val="20"/>
                <w:lang w:val="en-US" w:eastAsia="zh-CN"/>
              </w:rPr>
            </w:pPr>
            <w:r>
              <w:rPr>
                <w:rFonts w:hint="eastAsia" w:ascii="宋体" w:hAnsi="宋体" w:cs="宋体"/>
                <w:color w:val="auto"/>
                <w:sz w:val="20"/>
                <w:szCs w:val="20"/>
                <w:lang w:val="en-US" w:eastAsia="zh-CN"/>
              </w:rPr>
              <w:t>360</w:t>
            </w:r>
          </w:p>
        </w:tc>
        <w:tc>
          <w:tcPr>
            <w:tcW w:w="411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cs="宋体"/>
                <w:color w:val="auto"/>
                <w:sz w:val="20"/>
                <w:szCs w:val="20"/>
                <w:lang w:eastAsia="zh-CN"/>
              </w:rPr>
            </w:pPr>
            <w:r>
              <w:rPr>
                <w:rFonts w:hint="eastAsia" w:ascii="宋体" w:hAnsi="宋体" w:cs="宋体"/>
                <w:color w:val="auto"/>
                <w:sz w:val="20"/>
                <w:szCs w:val="20"/>
                <w:lang w:val="en-US" w:eastAsia="zh-CN"/>
              </w:rPr>
              <w:t>铜鼓县在读初中学生</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县城区：450</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乡镇：420</w:t>
            </w:r>
          </w:p>
        </w:tc>
        <w:tc>
          <w:tcPr>
            <w:tcW w:w="411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cs="宋体"/>
                <w:color w:val="auto"/>
                <w:sz w:val="20"/>
                <w:szCs w:val="20"/>
                <w:lang w:val="en-US" w:eastAsia="zh-CN"/>
              </w:rPr>
              <w:t>铜发改收费字[2023]3号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铜鼓县房地产管理局</w:t>
      </w:r>
      <w:bookmarkEnd w:id="16"/>
    </w:p>
    <w:tbl>
      <w:tblPr>
        <w:tblStyle w:val="5"/>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402"/>
        <w:gridCol w:w="2005"/>
        <w:gridCol w:w="1444"/>
        <w:gridCol w:w="267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670"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87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一、廉租房租金</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w:t>
            </w:r>
          </w:p>
        </w:tc>
        <w:tc>
          <w:tcPr>
            <w:tcW w:w="2670"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18号</w:t>
            </w:r>
          </w:p>
        </w:tc>
        <w:tc>
          <w:tcPr>
            <w:tcW w:w="1874"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二、公租房租金</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3.5</w:t>
            </w:r>
          </w:p>
        </w:tc>
        <w:tc>
          <w:tcPr>
            <w:tcW w:w="2670"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eastAsia="zh-CN"/>
              </w:rPr>
            </w:pPr>
          </w:p>
        </w:tc>
        <w:tc>
          <w:tcPr>
            <w:tcW w:w="1874"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7" w:name="_Toc29355"/>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铜鼓润泉供水有限公司</w:t>
      </w:r>
      <w:bookmarkEnd w:id="17"/>
    </w:p>
    <w:tbl>
      <w:tblPr>
        <w:tblStyle w:val="5"/>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49"/>
        <w:gridCol w:w="1888"/>
        <w:gridCol w:w="950"/>
        <w:gridCol w:w="966"/>
        <w:gridCol w:w="1187"/>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1"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eastAsia="zh-CN"/>
              </w:rPr>
              <w:t>类</w:t>
            </w:r>
            <w:r>
              <w:rPr>
                <w:rFonts w:hint="eastAsia" w:ascii="宋体" w:hAnsi="宋体" w:eastAsia="宋体" w:cs="宋体"/>
                <w:b/>
                <w:bCs/>
                <w:color w:val="auto"/>
                <w:sz w:val="20"/>
                <w:szCs w:val="20"/>
                <w:lang w:eastAsia="zh-CN"/>
              </w:rPr>
              <w:t>：居民生活用水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一级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08号</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铜府字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2017</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105号</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2009</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10号</w:t>
            </w:r>
          </w:p>
        </w:tc>
        <w:tc>
          <w:tcPr>
            <w:tcW w:w="429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227" w:rightChars="-108"/>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居民用户以每户五人计算，每户用水量分为三级。一级用水量为年用水量360吨以下（“以下”含本数，“以上”不含本数，下同），即月均用水30吨以下执行一级水价。二级用水量为年用水量360吨至480吨，即月均30吨至40吨，执行二级水价。三级用水量为年用水量480吨以上，即月均40吨以上，执行三级水价。阶梯水价以年为结算周期，按年累计用水量计算，每户年用水量360吨及以下的执行一级水量价格；每户年用水量361吨至480吨的执行二级水量价格；每户年用水量481吨及以上的执行三级水量价格。五人以上的家庭每增加一人每月每级用水基数可相应增加5吨。居民用水户凭户口本，承租房屋用户凭房屋租赁合同、居住人身份证到供水管理部门办理新增用水基数申报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5"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二级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4"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三级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4.35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合表户</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8"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二类：非居民生活用水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行政事业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7"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2"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经营基建</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三类：</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城区户表建设改造费（地表部分）</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860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污水处理费</w:t>
            </w: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0.85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铜府办发</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44号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非居民生活用水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工业企业未自建污水处理设施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0.18</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工业企业已自建污水处理设施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自备水源用水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/月/户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8" w:name="_Toc9644"/>
      <w:r>
        <w:rPr>
          <w:rFonts w:hint="eastAsia" w:ascii="Times New Roman" w:hAnsi="Times New Roman" w:cs="宋体"/>
          <w:b/>
          <w:color w:val="auto"/>
          <w:sz w:val="28"/>
          <w:szCs w:val="28"/>
          <w:lang w:val="en-US" w:eastAsia="zh-CN"/>
        </w:rPr>
        <w:t>执收部门：铜鼓县福利院</w:t>
      </w:r>
      <w:bookmarkEnd w:id="18"/>
    </w:p>
    <w:tbl>
      <w:tblPr>
        <w:tblStyle w:val="6"/>
        <w:tblW w:w="10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575"/>
        <w:gridCol w:w="3382"/>
        <w:gridCol w:w="1584"/>
        <w:gridCol w:w="1172"/>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79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收费项目</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计费单位</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收费标准</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批准文号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老年公寓</w:t>
            </w:r>
            <w:r>
              <w:rPr>
                <w:rFonts w:hint="eastAsia" w:ascii="宋体" w:hAnsi="宋体" w:eastAsia="宋体" w:cs="宋体"/>
                <w:b/>
                <w:bCs/>
                <w:color w:val="auto"/>
                <w:sz w:val="20"/>
                <w:szCs w:val="20"/>
                <w:vertAlign w:val="baseline"/>
                <w:lang w:val="en-US" w:eastAsia="zh-CN"/>
              </w:rPr>
              <w:t>一、床位费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一楼单</w:t>
            </w:r>
            <w:r>
              <w:rPr>
                <w:rFonts w:hint="eastAsia" w:ascii="宋体" w:hAnsi="宋体" w:eastAsia="宋体" w:cs="宋体"/>
                <w:color w:val="auto"/>
                <w:sz w:val="20"/>
                <w:szCs w:val="20"/>
                <w:vertAlign w:val="baseline"/>
                <w:lang w:val="en-US" w:eastAsia="zh-CN"/>
              </w:rPr>
              <w:t>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2</w:t>
            </w:r>
            <w:r>
              <w:rPr>
                <w:rFonts w:hint="eastAsia" w:ascii="宋体" w:hAnsi="宋体" w:eastAsia="宋体" w:cs="宋体"/>
                <w:color w:val="auto"/>
                <w:sz w:val="20"/>
                <w:szCs w:val="20"/>
                <w:vertAlign w:val="baseline"/>
                <w:lang w:val="en-US" w:eastAsia="zh-CN"/>
              </w:rPr>
              <w:t>50、</w:t>
            </w:r>
            <w:r>
              <w:rPr>
                <w:rFonts w:hint="eastAsia" w:ascii="宋体" w:hAnsi="宋体" w:cs="宋体"/>
                <w:color w:val="auto"/>
                <w:sz w:val="20"/>
                <w:szCs w:val="20"/>
                <w:vertAlign w:val="baseline"/>
                <w:lang w:val="en-US" w:eastAsia="zh-CN"/>
              </w:rPr>
              <w:t>500</w:t>
            </w:r>
          </w:p>
        </w:tc>
        <w:tc>
          <w:tcPr>
            <w:tcW w:w="11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199" w:leftChars="-95" w:right="-103" w:rightChars="-49" w:firstLine="200" w:firstLineChars="100"/>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铜价字</w:t>
            </w:r>
            <w:r>
              <w:rPr>
                <w:rFonts w:hint="eastAsia" w:ascii="宋体" w:hAnsi="宋体" w:cs="宋体"/>
                <w:color w:val="auto"/>
                <w:sz w:val="20"/>
                <w:szCs w:val="20"/>
                <w:vertAlign w:val="baseline"/>
                <w:lang w:val="en-US" w:eastAsia="zh-CN"/>
              </w:rPr>
              <w:t>[</w:t>
            </w:r>
            <w:r>
              <w:rPr>
                <w:rFonts w:hint="eastAsia" w:ascii="宋体" w:hAnsi="宋体" w:eastAsia="宋体" w:cs="宋体"/>
                <w:color w:val="auto"/>
                <w:sz w:val="20"/>
                <w:szCs w:val="20"/>
                <w:vertAlign w:val="baseline"/>
                <w:lang w:val="en-US" w:eastAsia="zh-CN"/>
              </w:rPr>
              <w:t>201</w:t>
            </w:r>
            <w:r>
              <w:rPr>
                <w:rFonts w:hint="eastAsia" w:ascii="宋体" w:hAnsi="宋体" w:cs="宋体"/>
                <w:color w:val="auto"/>
                <w:sz w:val="20"/>
                <w:szCs w:val="20"/>
                <w:vertAlign w:val="baseline"/>
                <w:lang w:val="en-US" w:eastAsia="zh-CN"/>
              </w:rPr>
              <w:t>8]6</w:t>
            </w:r>
            <w:r>
              <w:rPr>
                <w:rFonts w:hint="eastAsia" w:ascii="宋体" w:hAnsi="宋体" w:eastAsia="宋体" w:cs="宋体"/>
                <w:color w:val="auto"/>
                <w:sz w:val="20"/>
                <w:szCs w:val="20"/>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240" w:lineRule="exact"/>
              <w:ind w:left="-199" w:leftChars="-95" w:right="-103" w:rightChars="-49" w:firstLine="200" w:firstLineChars="100"/>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铜发改收费字[2023]4号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二楼套</w:t>
            </w:r>
            <w:r>
              <w:rPr>
                <w:rFonts w:hint="eastAsia" w:ascii="宋体" w:hAnsi="宋体" w:cs="宋体"/>
                <w:color w:val="auto"/>
                <w:sz w:val="20"/>
                <w:szCs w:val="20"/>
                <w:vertAlign w:val="baseline"/>
                <w:lang w:val="en-US" w:eastAsia="zh-CN"/>
              </w:rPr>
              <w:t>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w:t>
            </w:r>
            <w:r>
              <w:rPr>
                <w:rFonts w:hint="eastAsia" w:ascii="宋体" w:hAnsi="宋体" w:eastAsia="宋体" w:cs="宋体"/>
                <w:color w:val="auto"/>
                <w:sz w:val="20"/>
                <w:szCs w:val="20"/>
                <w:vertAlign w:val="baseline"/>
                <w:lang w:val="en-US" w:eastAsia="zh-CN"/>
              </w:rPr>
              <w:t>40、</w:t>
            </w:r>
            <w:r>
              <w:rPr>
                <w:rFonts w:hint="eastAsia" w:ascii="宋体" w:hAnsi="宋体" w:cs="宋体"/>
                <w:color w:val="auto"/>
                <w:sz w:val="20"/>
                <w:szCs w:val="20"/>
                <w:vertAlign w:val="baseline"/>
                <w:lang w:val="en-US" w:eastAsia="zh-CN"/>
              </w:rPr>
              <w:t>68</w:t>
            </w:r>
            <w:r>
              <w:rPr>
                <w:rFonts w:hint="eastAsia" w:ascii="宋体" w:hAnsi="宋体" w:eastAsia="宋体" w:cs="宋体"/>
                <w:color w:val="auto"/>
                <w:sz w:val="20"/>
                <w:szCs w:val="20"/>
                <w:vertAlign w:val="baseline"/>
                <w:lang w:val="en-US" w:eastAsia="zh-CN"/>
              </w:rPr>
              <w:t>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三楼套</w:t>
            </w:r>
            <w:r>
              <w:rPr>
                <w:rFonts w:hint="eastAsia" w:ascii="宋体" w:hAnsi="宋体" w:cs="宋体"/>
                <w:color w:val="auto"/>
                <w:sz w:val="20"/>
                <w:szCs w:val="20"/>
                <w:vertAlign w:val="baseline"/>
                <w:lang w:val="en-US" w:eastAsia="zh-CN"/>
              </w:rPr>
              <w:t>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w:t>
            </w:r>
            <w:r>
              <w:rPr>
                <w:rFonts w:hint="eastAsia" w:ascii="宋体" w:hAnsi="宋体" w:eastAsia="宋体" w:cs="宋体"/>
                <w:color w:val="auto"/>
                <w:sz w:val="20"/>
                <w:szCs w:val="20"/>
                <w:vertAlign w:val="baseline"/>
                <w:lang w:val="en-US" w:eastAsia="zh-CN"/>
              </w:rPr>
              <w:t>30、</w:t>
            </w:r>
            <w:r>
              <w:rPr>
                <w:rFonts w:hint="eastAsia" w:ascii="宋体" w:hAnsi="宋体" w:cs="宋体"/>
                <w:color w:val="auto"/>
                <w:sz w:val="20"/>
                <w:szCs w:val="20"/>
                <w:vertAlign w:val="baseline"/>
                <w:lang w:val="en-US" w:eastAsia="zh-CN"/>
              </w:rPr>
              <w:t>66</w:t>
            </w:r>
            <w:r>
              <w:rPr>
                <w:rFonts w:hint="eastAsia" w:ascii="宋体" w:hAnsi="宋体" w:eastAsia="宋体" w:cs="宋体"/>
                <w:color w:val="auto"/>
                <w:sz w:val="20"/>
                <w:szCs w:val="20"/>
                <w:vertAlign w:val="baseline"/>
                <w:lang w:val="en-US" w:eastAsia="zh-CN"/>
              </w:rPr>
              <w:t>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新综合大楼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床位费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标准间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350、700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套  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540、1000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多人间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350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二、护理费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特级护理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一对一，价格双方协商</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1400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700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300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bookmarkStart w:id="19" w:name="_Toc571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铜鼓县殡葬管理所</w:t>
      </w:r>
      <w:bookmarkEnd w:id="19"/>
    </w:p>
    <w:tbl>
      <w:tblPr>
        <w:tblStyle w:val="5"/>
        <w:tblW w:w="10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32"/>
        <w:gridCol w:w="1624"/>
        <w:gridCol w:w="1711"/>
        <w:gridCol w:w="1604"/>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2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eastAsia="宋体" w:cs="宋体"/>
                <w:b/>
                <w:bCs/>
                <w:color w:val="auto"/>
                <w:sz w:val="20"/>
                <w:szCs w:val="20"/>
              </w:rPr>
              <w:t>遗体接运费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rPr>
              <w:t>元/车·次</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120</w:t>
            </w:r>
          </w:p>
        </w:tc>
        <w:tc>
          <w:tcPr>
            <w:tcW w:w="160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122" w:rightChars="-58"/>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铜价字</w:t>
            </w:r>
          </w:p>
          <w:p>
            <w:pPr>
              <w:keepNext w:val="0"/>
              <w:keepLines w:val="0"/>
              <w:pageBreakBefore w:val="0"/>
              <w:widowControl w:val="0"/>
              <w:kinsoku/>
              <w:wordWrap/>
              <w:overflowPunct/>
              <w:topLinePunct w:val="0"/>
              <w:autoSpaceDE/>
              <w:autoSpaceDN/>
              <w:bidi w:val="0"/>
              <w:adjustRightInd/>
              <w:snapToGrid/>
              <w:spacing w:line="200" w:lineRule="exact"/>
              <w:ind w:right="-122" w:rightChars="-58"/>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2010</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17号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（往返15公里以内，以外每公里加收4元）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1"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遗体保存</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元/天</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100-150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水晶棺租用：100元/天。2、</w:t>
            </w:r>
            <w:r>
              <w:rPr>
                <w:rFonts w:hint="eastAsia" w:ascii="宋体" w:hAnsi="宋体" w:eastAsia="宋体" w:cs="宋体"/>
                <w:b w:val="0"/>
                <w:bCs w:val="0"/>
                <w:color w:val="auto"/>
                <w:spacing w:val="40"/>
                <w:sz w:val="20"/>
                <w:szCs w:val="20"/>
              </w:rPr>
              <w:t>冰柜租用</w:t>
            </w:r>
            <w:r>
              <w:rPr>
                <w:rFonts w:hint="eastAsia" w:ascii="宋体" w:hAnsi="宋体" w:eastAsia="宋体" w:cs="宋体"/>
                <w:b w:val="0"/>
                <w:bCs w:val="0"/>
                <w:color w:val="auto"/>
                <w:sz w:val="20"/>
                <w:szCs w:val="20"/>
              </w:rPr>
              <w:t>：150元/天。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三、火化费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元/具</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550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（含火化炉损耗、柴油、人员工资、电费、消毒及火化证等）；骸骨及死胎火化费50元具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0337" w:type="dxa"/>
            <w:gridSpan w:val="5"/>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eastAsia="zh-CN"/>
              </w:rPr>
              <w:t>根据铜府办发</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2018</w:t>
            </w:r>
            <w:r>
              <w:rPr>
                <w:rFonts w:hint="eastAsia" w:ascii="宋体" w:hAnsi="宋体" w:cs="宋体"/>
                <w:b w:val="0"/>
                <w:bCs w:val="0"/>
                <w:color w:val="auto"/>
                <w:sz w:val="20"/>
                <w:szCs w:val="20"/>
                <w:lang w:val="en-US" w:eastAsia="zh-CN"/>
              </w:rPr>
              <w:t>]</w:t>
            </w:r>
            <w:r>
              <w:rPr>
                <w:rFonts w:hint="eastAsia" w:ascii="宋体" w:hAnsi="宋体" w:eastAsia="宋体" w:cs="宋体"/>
                <w:b w:val="0"/>
                <w:bCs w:val="0"/>
                <w:color w:val="auto"/>
                <w:sz w:val="20"/>
                <w:szCs w:val="20"/>
                <w:lang w:val="en-US" w:eastAsia="zh-CN"/>
              </w:rPr>
              <w:t>30号文件规定：</w:t>
            </w:r>
            <w:r>
              <w:rPr>
                <w:rFonts w:hint="eastAsia" w:ascii="宋体" w:hAnsi="宋体" w:eastAsia="宋体" w:cs="宋体"/>
                <w:b w:val="0"/>
                <w:bCs w:val="0"/>
                <w:color w:val="auto"/>
                <w:sz w:val="20"/>
                <w:szCs w:val="20"/>
                <w:lang w:eastAsia="zh-CN"/>
              </w:rPr>
              <w:t>1、在铜鼓县行政区域内死亡后火化遗体的满足条件人员，免除普通殡仪专用车遗体接运（本县范围内）、遗体冷藏（3天内）、遗体火化（普通火化炉）、骨灰寄存（一年）等费用。2、具有铜鼓县户籍的城乡低保户、享受优抚补助金的重点优抚对象、城乡特困人员，在免除四项基本殡葬服务费用基础上，免费提供200以内的骨灰盒并免除3年的骨灰存放费。3、惠民殡葬政策自2018年</w:t>
            </w:r>
            <w:r>
              <w:rPr>
                <w:rFonts w:hint="eastAsia" w:ascii="宋体" w:hAnsi="宋体" w:eastAsia="宋体" w:cs="宋体"/>
                <w:b w:val="0"/>
                <w:bCs w:val="0"/>
                <w:color w:val="auto"/>
                <w:sz w:val="20"/>
                <w:szCs w:val="20"/>
                <w:lang w:val="en-US" w:eastAsia="zh-CN"/>
              </w:rPr>
              <w:t>7</w:t>
            </w:r>
            <w:r>
              <w:rPr>
                <w:rFonts w:hint="eastAsia" w:ascii="宋体" w:hAnsi="宋体" w:eastAsia="宋体" w:cs="宋体"/>
                <w:b w:val="0"/>
                <w:bCs w:val="0"/>
                <w:color w:val="auto"/>
                <w:sz w:val="20"/>
                <w:szCs w:val="20"/>
                <w:lang w:eastAsia="zh-CN"/>
              </w:rPr>
              <w:t>月1日起实施。</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bookmarkStart w:id="20" w:name="_Toc1956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铜鼓县二</w:t>
      </w:r>
      <w:r>
        <w:rPr>
          <w:rFonts w:hint="eastAsia" w:ascii="Times New Roman" w:hAnsi="Times New Roman" w:cs="宋体"/>
          <w:b/>
          <w:color w:val="auto"/>
          <w:sz w:val="28"/>
          <w:szCs w:val="28"/>
          <w:lang w:val="en-US" w:eastAsia="zh-CN"/>
        </w:rPr>
        <w:t>0四出租车有限公司</w:t>
      </w:r>
      <w:bookmarkEnd w:id="2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1758"/>
        <w:gridCol w:w="1276"/>
        <w:gridCol w:w="196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一、起步价</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元/2公里 </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2011</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30号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2公里以外1.80元/公里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二、夜间租车</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元/2公里</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val="0"/>
                <w:bCs w:val="0"/>
                <w:color w:val="auto"/>
                <w:sz w:val="20"/>
                <w:szCs w:val="20"/>
                <w:lang w:val="en-US" w:eastAsia="zh-CN"/>
              </w:rPr>
              <w:t>2公里以外2.00元/公里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三、等候加价时间</w:t>
            </w:r>
            <w:r>
              <w:rPr>
                <w:rFonts w:hint="eastAsia" w:ascii="宋体" w:hAnsi="宋体" w:eastAsia="宋体" w:cs="宋体"/>
                <w:color w:val="auto"/>
                <w:sz w:val="20"/>
                <w:szCs w:val="20"/>
                <w:lang w:eastAsia="zh-CN"/>
              </w:rPr>
              <w:t>为每</w:t>
            </w:r>
            <w:r>
              <w:rPr>
                <w:rFonts w:hint="eastAsia" w:ascii="宋体" w:hAnsi="宋体" w:cs="宋体"/>
                <w:color w:val="auto"/>
                <w:sz w:val="20"/>
                <w:szCs w:val="20"/>
                <w:lang w:eastAsia="zh-CN"/>
              </w:rPr>
              <w:t>分</w:t>
            </w:r>
            <w:r>
              <w:rPr>
                <w:rFonts w:hint="eastAsia" w:ascii="宋体" w:hAnsi="宋体" w:eastAsia="宋体" w:cs="宋体"/>
                <w:color w:val="auto"/>
                <w:sz w:val="20"/>
                <w:szCs w:val="20"/>
                <w:lang w:eastAsia="zh-CN"/>
              </w:rPr>
              <w:t>钟</w:t>
            </w:r>
            <w:r>
              <w:rPr>
                <w:rFonts w:hint="eastAsia" w:ascii="宋体" w:hAnsi="宋体" w:eastAsia="宋体" w:cs="宋体"/>
                <w:color w:val="auto"/>
                <w:sz w:val="20"/>
                <w:szCs w:val="20"/>
                <w:lang w:val="en-US" w:eastAsia="zh-CN"/>
              </w:rPr>
              <w:t>0.50元</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四、长途租车</w:t>
            </w:r>
            <w:r>
              <w:rPr>
                <w:rFonts w:hint="eastAsia" w:ascii="宋体" w:hAnsi="宋体" w:eastAsia="宋体" w:cs="宋体"/>
                <w:color w:val="auto"/>
                <w:sz w:val="20"/>
                <w:szCs w:val="20"/>
                <w:lang w:eastAsia="zh-CN"/>
              </w:rPr>
              <w:t>（由驾乘双方面议）</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21" w:name="_Toc25406"/>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铜鼓县铜城天然气有限公司</w:t>
      </w:r>
      <w:bookmarkEnd w:id="21"/>
    </w:p>
    <w:tbl>
      <w:tblPr>
        <w:tblStyle w:val="5"/>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193"/>
        <w:gridCol w:w="1116"/>
        <w:gridCol w:w="2932"/>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193"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116"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93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2197"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一、居民生活用气</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3.70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低保户6 m</w:t>
            </w:r>
            <w:r>
              <w:rPr>
                <w:rFonts w:hint="eastAsia" w:ascii="宋体" w:hAnsi="宋体" w:eastAsia="宋体" w:cs="宋体"/>
                <w:color w:val="auto"/>
                <w:sz w:val="20"/>
                <w:szCs w:val="20"/>
                <w:vertAlign w:val="superscript"/>
              </w:rPr>
              <w:t>3</w:t>
            </w:r>
            <w:r>
              <w:rPr>
                <w:rFonts w:hint="eastAsia" w:ascii="宋体" w:hAnsi="宋体" w:eastAsia="宋体" w:cs="宋体"/>
                <w:color w:val="auto"/>
                <w:sz w:val="20"/>
                <w:szCs w:val="20"/>
              </w:rPr>
              <w:t>以内3.30元/m</w:t>
            </w:r>
            <w:r>
              <w:rPr>
                <w:rFonts w:hint="eastAsia" w:ascii="宋体" w:hAnsi="宋体" w:eastAsia="宋体" w:cs="宋体"/>
                <w:color w:val="auto"/>
                <w:sz w:val="20"/>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二、工业、商业</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4.60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三、管道燃气工程安装费</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2180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宜市发改价字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2019</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14号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ascii="黑体" w:hAnsi="黑体" w:eastAsia="黑体"/>
          <w:color w:val="auto"/>
          <w:sz w:val="28"/>
        </w:rPr>
      </w:pPr>
    </w:p>
    <w:sectPr>
      <w:footerReference r:id="rId5" w:type="default"/>
      <w:pgSz w:w="11905" w:h="8390" w:orient="landscape"/>
      <w:pgMar w:top="1020" w:right="1020" w:bottom="1020" w:left="1020" w:header="720" w:footer="720" w:gutter="0"/>
      <w:pgNumType w:start="1"/>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D324B"/>
    <w:multiLevelType w:val="singleLevel"/>
    <w:tmpl w:val="D1AD324B"/>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NotTrackMoves/>
  <w:documentProtection w:enforcement="0"/>
  <w:defaultTabStop w:val="420"/>
  <w:drawingGridVerticalSpacing w:val="161"/>
  <w:displayVerticalDrawingGridEvery w:val="2"/>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ZGMzNGZkYWRkMThhMTIxM2M5YjczYzc3NjZmNjgifQ=="/>
  </w:docVars>
  <w:rsids>
    <w:rsidRoot w:val="6D294FB9"/>
    <w:rsid w:val="000515FA"/>
    <w:rsid w:val="0009191C"/>
    <w:rsid w:val="000A258A"/>
    <w:rsid w:val="00151F90"/>
    <w:rsid w:val="0017564A"/>
    <w:rsid w:val="001C5608"/>
    <w:rsid w:val="001D329A"/>
    <w:rsid w:val="002711E3"/>
    <w:rsid w:val="00291264"/>
    <w:rsid w:val="0029431A"/>
    <w:rsid w:val="003D63DD"/>
    <w:rsid w:val="003F23B2"/>
    <w:rsid w:val="003F3077"/>
    <w:rsid w:val="003F4BE7"/>
    <w:rsid w:val="003F70DB"/>
    <w:rsid w:val="004051FD"/>
    <w:rsid w:val="004113F0"/>
    <w:rsid w:val="00416D02"/>
    <w:rsid w:val="00425C5A"/>
    <w:rsid w:val="00446A67"/>
    <w:rsid w:val="00456282"/>
    <w:rsid w:val="00471353"/>
    <w:rsid w:val="00482424"/>
    <w:rsid w:val="004875AE"/>
    <w:rsid w:val="004A11CD"/>
    <w:rsid w:val="004B02DF"/>
    <w:rsid w:val="00550262"/>
    <w:rsid w:val="00556BCF"/>
    <w:rsid w:val="00557311"/>
    <w:rsid w:val="005A60E8"/>
    <w:rsid w:val="005A678E"/>
    <w:rsid w:val="005C0380"/>
    <w:rsid w:val="005D126C"/>
    <w:rsid w:val="0062337A"/>
    <w:rsid w:val="00641260"/>
    <w:rsid w:val="00642DB8"/>
    <w:rsid w:val="00657257"/>
    <w:rsid w:val="006679AB"/>
    <w:rsid w:val="0068305E"/>
    <w:rsid w:val="006841EC"/>
    <w:rsid w:val="00684F1B"/>
    <w:rsid w:val="006933F5"/>
    <w:rsid w:val="00693BCB"/>
    <w:rsid w:val="0069678B"/>
    <w:rsid w:val="006C6F15"/>
    <w:rsid w:val="006D1F23"/>
    <w:rsid w:val="006D62D8"/>
    <w:rsid w:val="006E3134"/>
    <w:rsid w:val="006E358D"/>
    <w:rsid w:val="007074C5"/>
    <w:rsid w:val="00765512"/>
    <w:rsid w:val="007711DB"/>
    <w:rsid w:val="007E3292"/>
    <w:rsid w:val="00834E1E"/>
    <w:rsid w:val="008B0D1F"/>
    <w:rsid w:val="008C08F3"/>
    <w:rsid w:val="008C5C81"/>
    <w:rsid w:val="008D2C57"/>
    <w:rsid w:val="008D4FC6"/>
    <w:rsid w:val="00966C5A"/>
    <w:rsid w:val="00975A85"/>
    <w:rsid w:val="00996208"/>
    <w:rsid w:val="009F1792"/>
    <w:rsid w:val="00A07C65"/>
    <w:rsid w:val="00A130D7"/>
    <w:rsid w:val="00A26D15"/>
    <w:rsid w:val="00A71AA1"/>
    <w:rsid w:val="00A77BED"/>
    <w:rsid w:val="00A96846"/>
    <w:rsid w:val="00AB495A"/>
    <w:rsid w:val="00AD1C8E"/>
    <w:rsid w:val="00B33582"/>
    <w:rsid w:val="00BB74A8"/>
    <w:rsid w:val="00BC4971"/>
    <w:rsid w:val="00C6729B"/>
    <w:rsid w:val="00C75A8F"/>
    <w:rsid w:val="00CA4490"/>
    <w:rsid w:val="00D01F3B"/>
    <w:rsid w:val="00D02343"/>
    <w:rsid w:val="00D34AE1"/>
    <w:rsid w:val="00D82507"/>
    <w:rsid w:val="00DA1B89"/>
    <w:rsid w:val="00DB343F"/>
    <w:rsid w:val="00DC3684"/>
    <w:rsid w:val="00E25B9E"/>
    <w:rsid w:val="00EA6DCC"/>
    <w:rsid w:val="00EF547C"/>
    <w:rsid w:val="00F070D3"/>
    <w:rsid w:val="00F177EF"/>
    <w:rsid w:val="00F36552"/>
    <w:rsid w:val="00F45F58"/>
    <w:rsid w:val="00F8052C"/>
    <w:rsid w:val="016C60FE"/>
    <w:rsid w:val="01AE246D"/>
    <w:rsid w:val="03661693"/>
    <w:rsid w:val="03CF373E"/>
    <w:rsid w:val="03D75E56"/>
    <w:rsid w:val="05332E38"/>
    <w:rsid w:val="057C3C8A"/>
    <w:rsid w:val="065F7132"/>
    <w:rsid w:val="068F489F"/>
    <w:rsid w:val="0729567F"/>
    <w:rsid w:val="07B40A34"/>
    <w:rsid w:val="086477A0"/>
    <w:rsid w:val="097C3BC5"/>
    <w:rsid w:val="0B424F18"/>
    <w:rsid w:val="0BEB2F06"/>
    <w:rsid w:val="0CD9533F"/>
    <w:rsid w:val="0D282C1F"/>
    <w:rsid w:val="0E8F43C2"/>
    <w:rsid w:val="0EFC0FF7"/>
    <w:rsid w:val="102B4B05"/>
    <w:rsid w:val="107038B6"/>
    <w:rsid w:val="10A24CFA"/>
    <w:rsid w:val="11C21072"/>
    <w:rsid w:val="12A3074A"/>
    <w:rsid w:val="12BF7D61"/>
    <w:rsid w:val="12D7745A"/>
    <w:rsid w:val="1389794C"/>
    <w:rsid w:val="138F220B"/>
    <w:rsid w:val="14240FD7"/>
    <w:rsid w:val="144B0629"/>
    <w:rsid w:val="152F64AD"/>
    <w:rsid w:val="155D5C27"/>
    <w:rsid w:val="158741A6"/>
    <w:rsid w:val="15FE41D6"/>
    <w:rsid w:val="164903EF"/>
    <w:rsid w:val="16F104A2"/>
    <w:rsid w:val="180E7C2B"/>
    <w:rsid w:val="18367281"/>
    <w:rsid w:val="18BB0EFF"/>
    <w:rsid w:val="19307468"/>
    <w:rsid w:val="19F9735C"/>
    <w:rsid w:val="1A7F0364"/>
    <w:rsid w:val="1AB45424"/>
    <w:rsid w:val="1B71421A"/>
    <w:rsid w:val="1BE85FBB"/>
    <w:rsid w:val="1C846180"/>
    <w:rsid w:val="1C97799F"/>
    <w:rsid w:val="1CC849D8"/>
    <w:rsid w:val="1CE92D4D"/>
    <w:rsid w:val="1EB74B7E"/>
    <w:rsid w:val="1FC4252A"/>
    <w:rsid w:val="1FF32437"/>
    <w:rsid w:val="203C0818"/>
    <w:rsid w:val="205648C8"/>
    <w:rsid w:val="20AA65ED"/>
    <w:rsid w:val="212E072F"/>
    <w:rsid w:val="213A78E0"/>
    <w:rsid w:val="218233C0"/>
    <w:rsid w:val="21A03C9E"/>
    <w:rsid w:val="21B6160C"/>
    <w:rsid w:val="23E879F4"/>
    <w:rsid w:val="247F4427"/>
    <w:rsid w:val="24ED0D33"/>
    <w:rsid w:val="24F6154C"/>
    <w:rsid w:val="2519506A"/>
    <w:rsid w:val="25B35983"/>
    <w:rsid w:val="25BF098B"/>
    <w:rsid w:val="26CD0F49"/>
    <w:rsid w:val="28826A24"/>
    <w:rsid w:val="293B7E22"/>
    <w:rsid w:val="2B4E01EE"/>
    <w:rsid w:val="2BE06203"/>
    <w:rsid w:val="2C060A34"/>
    <w:rsid w:val="2CBF255E"/>
    <w:rsid w:val="2CD848B6"/>
    <w:rsid w:val="2D141B50"/>
    <w:rsid w:val="2DAE6A3B"/>
    <w:rsid w:val="2EBD4950"/>
    <w:rsid w:val="2EE17BB2"/>
    <w:rsid w:val="2F1D1859"/>
    <w:rsid w:val="2FF27A5F"/>
    <w:rsid w:val="30727276"/>
    <w:rsid w:val="30A577BD"/>
    <w:rsid w:val="316D5E55"/>
    <w:rsid w:val="326D6690"/>
    <w:rsid w:val="3371591E"/>
    <w:rsid w:val="33770636"/>
    <w:rsid w:val="341556AA"/>
    <w:rsid w:val="34C72C86"/>
    <w:rsid w:val="354F5848"/>
    <w:rsid w:val="357F4697"/>
    <w:rsid w:val="362E2D64"/>
    <w:rsid w:val="36EC7A98"/>
    <w:rsid w:val="36F1317A"/>
    <w:rsid w:val="37D61EBD"/>
    <w:rsid w:val="38314FA5"/>
    <w:rsid w:val="38763ED2"/>
    <w:rsid w:val="38FD0484"/>
    <w:rsid w:val="39476F0E"/>
    <w:rsid w:val="398C1AD4"/>
    <w:rsid w:val="399B525F"/>
    <w:rsid w:val="3A76353D"/>
    <w:rsid w:val="3D085EEC"/>
    <w:rsid w:val="3D7F38D4"/>
    <w:rsid w:val="3E3A4185"/>
    <w:rsid w:val="3E3A4664"/>
    <w:rsid w:val="3E5B31AB"/>
    <w:rsid w:val="3E912C49"/>
    <w:rsid w:val="3F1F2CE5"/>
    <w:rsid w:val="4006774A"/>
    <w:rsid w:val="4052508D"/>
    <w:rsid w:val="40CC6B5A"/>
    <w:rsid w:val="414D0D2B"/>
    <w:rsid w:val="415A17AB"/>
    <w:rsid w:val="41817B44"/>
    <w:rsid w:val="41AC4665"/>
    <w:rsid w:val="428D4D28"/>
    <w:rsid w:val="452A16F9"/>
    <w:rsid w:val="45EA04ED"/>
    <w:rsid w:val="462F3989"/>
    <w:rsid w:val="46A66560"/>
    <w:rsid w:val="46B74C61"/>
    <w:rsid w:val="46D825D2"/>
    <w:rsid w:val="46D97FB0"/>
    <w:rsid w:val="47301C13"/>
    <w:rsid w:val="47CF61B9"/>
    <w:rsid w:val="48581890"/>
    <w:rsid w:val="488A5F4C"/>
    <w:rsid w:val="48B67026"/>
    <w:rsid w:val="48C9429E"/>
    <w:rsid w:val="498C3737"/>
    <w:rsid w:val="4A11551E"/>
    <w:rsid w:val="4B7E4948"/>
    <w:rsid w:val="4BC467C2"/>
    <w:rsid w:val="4C375307"/>
    <w:rsid w:val="4EC44245"/>
    <w:rsid w:val="4FCC1704"/>
    <w:rsid w:val="4FF605B1"/>
    <w:rsid w:val="512C1DBD"/>
    <w:rsid w:val="51791DC5"/>
    <w:rsid w:val="519873D9"/>
    <w:rsid w:val="520D144E"/>
    <w:rsid w:val="523B5D3E"/>
    <w:rsid w:val="5338535E"/>
    <w:rsid w:val="539F7313"/>
    <w:rsid w:val="546D650B"/>
    <w:rsid w:val="546E7D01"/>
    <w:rsid w:val="54AE2AD9"/>
    <w:rsid w:val="5516153C"/>
    <w:rsid w:val="55B058D1"/>
    <w:rsid w:val="56903C42"/>
    <w:rsid w:val="58A35537"/>
    <w:rsid w:val="58A9335A"/>
    <w:rsid w:val="59A84326"/>
    <w:rsid w:val="5A00741E"/>
    <w:rsid w:val="5A2131F4"/>
    <w:rsid w:val="5A9C7CB3"/>
    <w:rsid w:val="5B0861BE"/>
    <w:rsid w:val="5B1A726F"/>
    <w:rsid w:val="5B826EEA"/>
    <w:rsid w:val="5C47431A"/>
    <w:rsid w:val="5C800B4C"/>
    <w:rsid w:val="5C9B7734"/>
    <w:rsid w:val="5CD91892"/>
    <w:rsid w:val="5CF27E15"/>
    <w:rsid w:val="5DE4689B"/>
    <w:rsid w:val="5DF601F0"/>
    <w:rsid w:val="5E5B5A3E"/>
    <w:rsid w:val="5E965158"/>
    <w:rsid w:val="5F533C9B"/>
    <w:rsid w:val="605260A3"/>
    <w:rsid w:val="605D68C4"/>
    <w:rsid w:val="608013CC"/>
    <w:rsid w:val="60C95C7D"/>
    <w:rsid w:val="60CF743D"/>
    <w:rsid w:val="61FE16C5"/>
    <w:rsid w:val="62BC5011"/>
    <w:rsid w:val="64AE1E23"/>
    <w:rsid w:val="65293910"/>
    <w:rsid w:val="6543272A"/>
    <w:rsid w:val="65474D9E"/>
    <w:rsid w:val="65EC4E4A"/>
    <w:rsid w:val="65F37ADE"/>
    <w:rsid w:val="66BE7E36"/>
    <w:rsid w:val="66FA65F9"/>
    <w:rsid w:val="67391E05"/>
    <w:rsid w:val="67F26A3E"/>
    <w:rsid w:val="67FE6123"/>
    <w:rsid w:val="68FC66C5"/>
    <w:rsid w:val="69297F71"/>
    <w:rsid w:val="69813952"/>
    <w:rsid w:val="699E1F70"/>
    <w:rsid w:val="6A172BC8"/>
    <w:rsid w:val="6AE44F69"/>
    <w:rsid w:val="6BB209EB"/>
    <w:rsid w:val="6BD62F42"/>
    <w:rsid w:val="6C842591"/>
    <w:rsid w:val="6CDD068C"/>
    <w:rsid w:val="6D294FB9"/>
    <w:rsid w:val="6D831F37"/>
    <w:rsid w:val="6FC50659"/>
    <w:rsid w:val="706A0CA9"/>
    <w:rsid w:val="70967631"/>
    <w:rsid w:val="70F03653"/>
    <w:rsid w:val="71952FCD"/>
    <w:rsid w:val="719E1059"/>
    <w:rsid w:val="71EB13AA"/>
    <w:rsid w:val="721C584A"/>
    <w:rsid w:val="722B5EC2"/>
    <w:rsid w:val="7255432A"/>
    <w:rsid w:val="730A66B8"/>
    <w:rsid w:val="73821FA7"/>
    <w:rsid w:val="739A500B"/>
    <w:rsid w:val="73A37569"/>
    <w:rsid w:val="74201F28"/>
    <w:rsid w:val="743832B9"/>
    <w:rsid w:val="7469500F"/>
    <w:rsid w:val="74FB0A91"/>
    <w:rsid w:val="75611F6D"/>
    <w:rsid w:val="75C03EBC"/>
    <w:rsid w:val="766C4915"/>
    <w:rsid w:val="7719648B"/>
    <w:rsid w:val="777355CB"/>
    <w:rsid w:val="78F23743"/>
    <w:rsid w:val="792A1C77"/>
    <w:rsid w:val="79E74A37"/>
    <w:rsid w:val="79EE1131"/>
    <w:rsid w:val="7A4C17D8"/>
    <w:rsid w:val="7B180A4B"/>
    <w:rsid w:val="7B592F9D"/>
    <w:rsid w:val="7B663482"/>
    <w:rsid w:val="7B9C07FE"/>
    <w:rsid w:val="7D2A3B8A"/>
    <w:rsid w:val="7D2F4C96"/>
    <w:rsid w:val="7D536D19"/>
    <w:rsid w:val="7D9649E1"/>
    <w:rsid w:val="7E011459"/>
    <w:rsid w:val="7E3E78EC"/>
    <w:rsid w:val="7E5C01E9"/>
    <w:rsid w:val="7E6C1B56"/>
    <w:rsid w:val="7EA70C2D"/>
    <w:rsid w:val="7F27695F"/>
    <w:rsid w:val="C27A887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rPr>
  </w:style>
  <w:style w:type="paragraph" w:styleId="3">
    <w:name w:val="header"/>
    <w:basedOn w:val="1"/>
    <w:link w:val="9"/>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semiHidden/>
    <w:unhideWhenUsed/>
    <w:qFormat/>
    <w:uiPriority w:val="39"/>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2"/>
    <w:autoRedefine/>
    <w:semiHidden/>
    <w:qFormat/>
    <w:uiPriority w:val="99"/>
    <w:rPr>
      <w:sz w:val="18"/>
      <w:szCs w:val="18"/>
    </w:rPr>
  </w:style>
  <w:style w:type="character" w:customStyle="1" w:styleId="9">
    <w:name w:val="页眉 Char"/>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22</Pages>
  <Words>8081</Words>
  <Characters>9772</Characters>
  <Lines>256</Lines>
  <Paragraphs>72</Paragraphs>
  <TotalTime>36</TotalTime>
  <ScaleCrop>false</ScaleCrop>
  <LinksUpToDate>false</LinksUpToDate>
  <CharactersWithSpaces>9848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2019-04-02T16:10:00Z</dcterms:created>
  <dc:creator>Administrator</dc:creator>
  <cp:lastModifiedBy>饱饱饿了</cp:lastModifiedBy>
  <cp:lastPrinted>2022-05-17T02:00:00Z</cp:lastPrinted>
  <dcterms:modified xsi:type="dcterms:W3CDTF">2023-12-13T08:55:06Z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4220C57F2CE04206935C871E91E37384</vt:lpwstr>
  </property>
  <property fmtid="{D5CDD505-2E9C-101B-9397-08002B2CF9AE}" pid="4" name="woTemplateTypoMode" linkTarget="0">
    <vt:lpwstr>web</vt:lpwstr>
  </property>
  <property fmtid="{D5CDD505-2E9C-101B-9397-08002B2CF9AE}" pid="5" name="woTemplate" linkTarget="0">
    <vt:i4>1</vt:i4>
  </property>
</Properties>
</file>